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4" w:lineRule="exact"/>
        <w:rPr>
          <w:sz w:val="24"/>
          <w:szCs w:val="24"/>
          <w:color w:val="auto"/>
        </w:rPr>
      </w:pPr>
    </w:p>
    <w:p>
      <w:pPr>
        <w:jc w:val="center"/>
        <w:ind w:right="-1004"/>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Washington, D.C. 20549</w:t>
      </w:r>
    </w:p>
    <w:p>
      <w:pPr>
        <w:spacing w:after="0" w:line="178" w:lineRule="exact"/>
        <w:rPr>
          <w:sz w:val="24"/>
          <w:szCs w:val="24"/>
          <w:color w:val="auto"/>
        </w:rPr>
      </w:pPr>
    </w:p>
    <w:p>
      <w:pPr>
        <w:jc w:val="center"/>
        <w:ind w:right="-1004"/>
        <w:spacing w:after="0"/>
        <w:rPr>
          <w:sz w:val="20"/>
          <w:szCs w:val="20"/>
          <w:color w:val="auto"/>
        </w:rPr>
      </w:pPr>
      <w:r>
        <w:rPr>
          <w:rFonts w:ascii="Arial" w:cs="Arial" w:eastAsia="Arial" w:hAnsi="Arial"/>
          <w:sz w:val="29"/>
          <w:szCs w:val="29"/>
          <w:b w:val="1"/>
          <w:bCs w:val="1"/>
          <w:color w:val="auto"/>
        </w:rPr>
        <w:t>SCHEDULE 14A</w:t>
      </w:r>
    </w:p>
    <w:p>
      <w:pPr>
        <w:spacing w:after="0" w:line="127"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SECURITIES EXCHANGE ACT OF 1934</w:t>
      </w:r>
    </w:p>
    <w:p>
      <w:pPr>
        <w:spacing w:after="0" w:line="57" w:lineRule="exact"/>
        <w:rPr>
          <w:sz w:val="24"/>
          <w:szCs w:val="24"/>
          <w:color w:val="auto"/>
        </w:rPr>
      </w:pPr>
    </w:p>
    <w:p>
      <w:pPr>
        <w:ind w:left="4"/>
        <w:spacing w:after="0" w:line="207" w:lineRule="exact"/>
        <w:tabs>
          <w:tab w:leader="none" w:pos="1924"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4"/>
        <w:spacing w:after="0" w:line="207" w:lineRule="exact"/>
        <w:tabs>
          <w:tab w:leader="none" w:pos="3404"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5"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 w:right="3119" w:hanging="4"/>
        <w:spacing w:after="0" w:line="283" w:lineRule="exact"/>
        <w:tabs>
          <w:tab w:leader="none" w:pos="55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8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212"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4"/>
          <w:szCs w:val="24"/>
          <w:color w:val="auto"/>
        </w:rPr>
      </w:pPr>
    </w:p>
    <w:p>
      <w:pPr>
        <w:ind w:left="2604"/>
        <w:spacing w:after="0"/>
        <w:rPr>
          <w:sz w:val="20"/>
          <w:szCs w:val="20"/>
          <w:color w:val="auto"/>
        </w:rPr>
      </w:pPr>
      <w:r>
        <w:rPr>
          <w:rFonts w:ascii="Arial" w:cs="Arial" w:eastAsia="Arial" w:hAnsi="Arial"/>
          <w:sz w:val="18"/>
          <w:szCs w:val="18"/>
          <w:b w:val="1"/>
          <w:bCs w:val="1"/>
          <w:color w:val="auto"/>
        </w:rPr>
        <w:t>(Name of Person(s) Filing Proxy Statement, if other than Registrant)</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12"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213360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89"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QUALYS, INC.</w:t>
      </w:r>
    </w:p>
    <w:p>
      <w:pPr>
        <w:jc w:val="center"/>
        <w:ind w:right="-39"/>
        <w:spacing w:after="0" w:line="180" w:lineRule="auto"/>
        <w:rPr>
          <w:sz w:val="20"/>
          <w:szCs w:val="20"/>
          <w:color w:val="auto"/>
        </w:rPr>
      </w:pPr>
      <w:r>
        <w:rPr>
          <w:rFonts w:ascii="Arial" w:cs="Arial" w:eastAsia="Arial" w:hAnsi="Arial"/>
          <w:sz w:val="17"/>
          <w:szCs w:val="17"/>
          <w:b w:val="1"/>
          <w:bCs w:val="1"/>
          <w:color w:val="auto"/>
        </w:rPr>
        <w:t>919 East Hillsdale Boulevard, 4</w:t>
      </w:r>
      <w:r>
        <w:rPr>
          <w:rFonts w:ascii="Arial" w:cs="Arial" w:eastAsia="Arial" w:hAnsi="Arial"/>
          <w:sz w:val="25"/>
          <w:szCs w:val="25"/>
          <w:b w:val="1"/>
          <w:bCs w:val="1"/>
          <w:color w:val="auto"/>
          <w:vertAlign w:val="superscript"/>
        </w:rPr>
        <w:t>th</w:t>
      </w:r>
      <w:r>
        <w:rPr>
          <w:rFonts w:ascii="Arial" w:cs="Arial" w:eastAsia="Arial" w:hAnsi="Arial"/>
          <w:sz w:val="17"/>
          <w:szCs w:val="17"/>
          <w:b w:val="1"/>
          <w:bCs w:val="1"/>
          <w:color w:val="auto"/>
        </w:rPr>
        <w:t xml:space="preserve"> Floor</w:t>
      </w:r>
    </w:p>
    <w:p>
      <w:pPr>
        <w:jc w:val="center"/>
        <w:ind w:right="-39"/>
        <w:spacing w:after="0"/>
        <w:rPr>
          <w:sz w:val="20"/>
          <w:szCs w:val="20"/>
          <w:color w:val="auto"/>
        </w:rPr>
      </w:pPr>
      <w:r>
        <w:rPr>
          <w:rFonts w:ascii="Arial" w:cs="Arial" w:eastAsia="Arial" w:hAnsi="Arial"/>
          <w:sz w:val="18"/>
          <w:szCs w:val="18"/>
          <w:b w:val="1"/>
          <w:bCs w:val="1"/>
          <w:color w:val="auto"/>
        </w:rPr>
        <w:t>Foster City, California 94404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8"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To Be Held at 11:00 a.m. Pacific Daylight Time on Wednesday, June 7,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QUALYS, INC.:</w:t>
      </w:r>
    </w:p>
    <w:p>
      <w:pPr>
        <w:spacing w:after="0" w:line="126" w:lineRule="exact"/>
        <w:rPr>
          <w:sz w:val="20"/>
          <w:szCs w:val="20"/>
          <w:color w:val="auto"/>
        </w:rPr>
      </w:pPr>
    </w:p>
    <w:p>
      <w:pPr>
        <w:ind w:firstLine="440"/>
        <w:spacing w:after="0" w:line="281" w:lineRule="auto"/>
        <w:rPr>
          <w:sz w:val="20"/>
          <w:szCs w:val="20"/>
          <w:color w:val="auto"/>
        </w:rPr>
      </w:pPr>
      <w:r>
        <w:rPr>
          <w:rFonts w:ascii="Arial" w:cs="Arial" w:eastAsia="Arial" w:hAnsi="Arial"/>
          <w:sz w:val="18"/>
          <w:szCs w:val="18"/>
          <w:color w:val="auto"/>
        </w:rPr>
        <w:t xml:space="preserve">The 2023 Annual Meeting of Stockholders of Qualys, Inc., a Delaware corporation, will be held online on </w:t>
      </w:r>
      <w:r>
        <w:rPr>
          <w:rFonts w:ascii="Arial" w:cs="Arial" w:eastAsia="Arial" w:hAnsi="Arial"/>
          <w:sz w:val="18"/>
          <w:szCs w:val="18"/>
          <w:b w:val="1"/>
          <w:bCs w:val="1"/>
          <w:color w:val="auto"/>
        </w:rPr>
        <w:t>Wednesday, June 7, 2023,</w:t>
      </w:r>
      <w:r>
        <w:rPr>
          <w:rFonts w:ascii="Arial" w:cs="Arial" w:eastAsia="Arial" w:hAnsi="Arial"/>
          <w:sz w:val="18"/>
          <w:szCs w:val="18"/>
          <w:color w:val="auto"/>
        </w:rPr>
        <w:t xml:space="preserve"> </w:t>
      </w:r>
      <w:r>
        <w:rPr>
          <w:rFonts w:ascii="Arial" w:cs="Arial" w:eastAsia="Arial" w:hAnsi="Arial"/>
          <w:sz w:val="18"/>
          <w:szCs w:val="18"/>
          <w:b w:val="1"/>
          <w:bCs w:val="1"/>
          <w:color w:val="auto"/>
        </w:rPr>
        <w:t>at 11:00 a.m. Pacific Daylight Time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53340</wp:posOffset>
            </wp:positionV>
            <wp:extent cx="6998970" cy="861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861695"/>
                    </a:xfrm>
                    <a:prstGeom prst="rect">
                      <a:avLst/>
                    </a:prstGeom>
                    <a:noFill/>
                  </pic:spPr>
                </pic:pic>
              </a:graphicData>
            </a:graphic>
          </wp:anchor>
        </w:drawing>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Stockholders may participate in the meeting only by logging in at:</w:t>
      </w:r>
    </w:p>
    <w:p>
      <w:pPr>
        <w:spacing w:after="0" w:line="104"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www.virtualshareholdermeeting.com/QLYS2023</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will be able to listen to the meeting live, vote and submit questions. There will be no physical location for stockholders to</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attend the meeting.</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annual meeting will be held for the following purposes as more fully described in the accompanying proxy statement:</w:t>
      </w:r>
    </w:p>
    <w:p>
      <w:pPr>
        <w:spacing w:after="0" w:line="144" w:lineRule="exact"/>
        <w:rPr>
          <w:sz w:val="20"/>
          <w:szCs w:val="20"/>
          <w:color w:val="auto"/>
        </w:rPr>
      </w:pPr>
    </w:p>
    <w:p>
      <w:pPr>
        <w:ind w:left="960" w:right="60" w:hanging="532"/>
        <w:spacing w:after="0" w:line="27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Class II directors to serve until the 2026 annual meeting of stockholders or until their successors are duly elected and qualified;</w:t>
      </w:r>
    </w:p>
    <w:p>
      <w:pPr>
        <w:spacing w:after="0" w:line="86" w:lineRule="exact"/>
        <w:rPr>
          <w:rFonts w:ascii="Arial" w:cs="Arial" w:eastAsia="Arial" w:hAnsi="Arial"/>
          <w:sz w:val="18"/>
          <w:szCs w:val="18"/>
          <w:color w:val="auto"/>
        </w:rPr>
      </w:pPr>
    </w:p>
    <w:p>
      <w:pPr>
        <w:ind w:left="960" w:right="540" w:hanging="532"/>
        <w:spacing w:after="0" w:line="27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independent registered public accounting firm for our fiscal year ending December 31, 2023;</w:t>
      </w:r>
    </w:p>
    <w:p>
      <w:pPr>
        <w:spacing w:after="0" w:line="86" w:lineRule="exact"/>
        <w:rPr>
          <w:rFonts w:ascii="Arial" w:cs="Arial" w:eastAsia="Arial" w:hAnsi="Arial"/>
          <w:sz w:val="18"/>
          <w:szCs w:val="18"/>
          <w:color w:val="auto"/>
        </w:rPr>
      </w:pPr>
    </w:p>
    <w:p>
      <w:pPr>
        <w:ind w:left="960" w:right="380" w:hanging="532"/>
        <w:spacing w:after="0" w:line="27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and non-binding basis, the compensation of our named executive officers as described in this proxy statement; and</w:t>
      </w:r>
    </w:p>
    <w:p>
      <w:pPr>
        <w:spacing w:after="0" w:line="86"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44" w:lineRule="exact"/>
        <w:rPr>
          <w:sz w:val="20"/>
          <w:szCs w:val="20"/>
          <w:color w:val="auto"/>
        </w:rPr>
      </w:pPr>
    </w:p>
    <w:p>
      <w:pPr>
        <w:jc w:val="both"/>
        <w:ind w:right="460" w:firstLine="440"/>
        <w:spacing w:after="0" w:line="253" w:lineRule="auto"/>
        <w:rPr>
          <w:sz w:val="20"/>
          <w:szCs w:val="20"/>
          <w:color w:val="auto"/>
        </w:rPr>
      </w:pPr>
      <w:r>
        <w:rPr>
          <w:rFonts w:ascii="Arial" w:cs="Arial" w:eastAsia="Arial" w:hAnsi="Arial"/>
          <w:sz w:val="18"/>
          <w:szCs w:val="18"/>
          <w:color w:val="auto"/>
        </w:rPr>
        <w:t>The board of directors of Qualys, Inc. has fixed the close of business on April 10, 2023 as the record date for the meeting. Only stockholders of record of our common stock on April 10, 2023 are entitled to notice of and to vote at the meeting. Further information regarding voting rights and the matters to be voted upon is presented in the accompanying proxy statement.</w:t>
      </w:r>
    </w:p>
    <w:p>
      <w:pPr>
        <w:spacing w:after="0" w:line="88" w:lineRule="exact"/>
        <w:rPr>
          <w:sz w:val="20"/>
          <w:szCs w:val="20"/>
          <w:color w:val="auto"/>
        </w:rPr>
      </w:pPr>
    </w:p>
    <w:p>
      <w:pPr>
        <w:ind w:right="20" w:firstLine="440"/>
        <w:spacing w:after="0" w:line="244" w:lineRule="auto"/>
        <w:rPr>
          <w:sz w:val="20"/>
          <w:szCs w:val="20"/>
          <w:color w:val="auto"/>
        </w:rPr>
      </w:pPr>
      <w:r>
        <w:rPr>
          <w:rFonts w:ascii="Arial" w:cs="Arial" w:eastAsia="Arial" w:hAnsi="Arial"/>
          <w:sz w:val="18"/>
          <w:szCs w:val="18"/>
          <w:color w:val="auto"/>
        </w:rPr>
        <w:t xml:space="preserve">On or about April 20, 2023, we expect to mail to our stockholders a Notice of Internet Availability of Proxy Materials (the “Notice”) containing instructions on how to access the proxy statement for the 2023 annual meeting and our 2022 annual report to stockholders. The Notice provides instructions on how to vote online or by telephone and includes instructions on how to receive a paper copy of proxy materials by mail. The proxy statement and our annual report can also be accessed directly at </w:t>
      </w:r>
      <w:r>
        <w:rPr>
          <w:rFonts w:ascii="Arial" w:cs="Arial" w:eastAsia="Arial" w:hAnsi="Arial"/>
          <w:sz w:val="18"/>
          <w:szCs w:val="18"/>
          <w:b w:val="1"/>
          <w:bCs w:val="1"/>
          <w:u w:val="single" w:color="auto"/>
          <w:color w:val="auto"/>
        </w:rPr>
        <w:t>www.proxyvote.com</w:t>
      </w:r>
      <w:r>
        <w:rPr>
          <w:rFonts w:ascii="Arial" w:cs="Arial" w:eastAsia="Arial" w:hAnsi="Arial"/>
          <w:sz w:val="18"/>
          <w:szCs w:val="18"/>
          <w:color w:val="auto"/>
        </w:rPr>
        <w:t>. All you have to do is enter the control number located on the Notice or your proxy card.</w:t>
      </w:r>
    </w:p>
    <w:p>
      <w:pPr>
        <w:spacing w:after="0" w:line="109"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b w:val="1"/>
          <w:bCs w:val="1"/>
          <w:color w:val="auto"/>
        </w:rPr>
        <w:t xml:space="preserve">YOUR VOTE IS IMPORTANT. Whether or not you plan to participate in the annual meeting, we urge you to submit your vote via the Internet, telephone or mail in advance of the meeting. </w:t>
      </w:r>
      <w:r>
        <w:rPr>
          <w:rFonts w:ascii="Arial" w:cs="Arial" w:eastAsia="Arial" w:hAnsi="Arial"/>
          <w:sz w:val="18"/>
          <w:szCs w:val="18"/>
          <w:color w:val="auto"/>
        </w:rPr>
        <w:t>If you plan to participate in the annual meeting, please see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in the accompanying proxy statement.</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appreciate your continued support of Qualys, Inc.</w:t>
      </w:r>
    </w:p>
    <w:p>
      <w:pPr>
        <w:spacing w:after="0" w:line="13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14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Sumedh S. Thakar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Sumedh S. Thakar</w:t>
      </w:r>
    </w:p>
    <w:p>
      <w:pPr>
        <w:ind w:left="5960"/>
        <w:spacing w:after="0" w:line="234" w:lineRule="auto"/>
        <w:rPr>
          <w:sz w:val="20"/>
          <w:szCs w:val="20"/>
          <w:color w:val="auto"/>
        </w:rPr>
      </w:pPr>
      <w:r>
        <w:rPr>
          <w:rFonts w:ascii="Arial" w:cs="Arial" w:eastAsia="Arial" w:hAnsi="Arial"/>
          <w:sz w:val="18"/>
          <w:szCs w:val="18"/>
          <w:i w:val="1"/>
          <w:iCs w:val="1"/>
          <w:color w:val="auto"/>
        </w:rPr>
        <w:t>Director, President and Chief Executive Officer</w:t>
      </w:r>
    </w:p>
    <w:p>
      <w:pPr>
        <w:ind w:left="5960"/>
        <w:spacing w:after="0" w:line="235" w:lineRule="auto"/>
        <w:rPr>
          <w:sz w:val="20"/>
          <w:szCs w:val="20"/>
          <w:color w:val="auto"/>
        </w:rPr>
      </w:pPr>
      <w:r>
        <w:rPr>
          <w:rFonts w:ascii="Arial" w:cs="Arial" w:eastAsia="Arial" w:hAnsi="Arial"/>
          <w:sz w:val="18"/>
          <w:szCs w:val="18"/>
          <w:color w:val="auto"/>
        </w:rPr>
        <w:t>Foster City, California</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April 20, 2023</w:t>
      </w:r>
    </w:p>
    <w:p>
      <w:pPr>
        <w:sectPr>
          <w:pgSz w:w="11900" w:h="16838" w:orient="portrait"/>
          <w:cols w:equalWidth="0" w:num="1">
            <w:col w:w="10980"/>
          </w:cols>
          <w:pgMar w:left="440" w:top="296" w:right="479" w:bottom="1440" w:gutter="0" w:footer="0" w:header="0"/>
        </w:sectPr>
      </w:pPr>
    </w:p>
    <w:bookmarkStart w:id="2" w:name="page3"/>
    <w:bookmarkEnd w:id="2"/>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05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80581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ANNUAL MEETING OF STOCKHOLDERS</w:t>
      </w:r>
    </w:p>
    <w:p>
      <w:pPr>
        <w:jc w:val="center"/>
        <w:ind w:right="-59"/>
        <w:spacing w:after="0"/>
        <w:rPr>
          <w:sz w:val="20"/>
          <w:szCs w:val="20"/>
          <w:color w:val="auto"/>
        </w:rPr>
      </w:pPr>
      <w:r>
        <w:rPr>
          <w:rFonts w:ascii="Arial" w:cs="Arial" w:eastAsia="Arial" w:hAnsi="Arial"/>
          <w:sz w:val="18"/>
          <w:szCs w:val="18"/>
          <w:b w:val="1"/>
          <w:bCs w:val="1"/>
          <w:color w:val="auto"/>
        </w:rPr>
        <w:t>to be held on Wednesday, June 7, 2023 at 11:00 a.m. Pacific Daylight Time</w:t>
      </w:r>
    </w:p>
    <w:p>
      <w:pPr>
        <w:spacing w:after="0" w:line="194" w:lineRule="exact"/>
        <w:rPr>
          <w:sz w:val="20"/>
          <w:szCs w:val="20"/>
          <w:color w:val="auto"/>
        </w:rPr>
      </w:pPr>
    </w:p>
    <w:p>
      <w:pPr>
        <w:ind w:right="80" w:firstLine="440"/>
        <w:spacing w:after="0" w:line="244" w:lineRule="auto"/>
        <w:rPr>
          <w:sz w:val="20"/>
          <w:szCs w:val="20"/>
          <w:color w:val="auto"/>
        </w:rPr>
      </w:pPr>
      <w:r>
        <w:rPr>
          <w:rFonts w:ascii="Arial" w:cs="Arial" w:eastAsia="Arial" w:hAnsi="Arial"/>
          <w:sz w:val="18"/>
          <w:szCs w:val="18"/>
          <w:color w:val="auto"/>
        </w:rPr>
        <w:t xml:space="preserve">This proxy statement and the enclosed form of proxy are furnished in connection with the solicitation of proxies by the board of directors of Qualys, Inc. (“we,” “Qualys,” or the “Company”) for use at our annual meeting of stockholders (the “Annual Meeting”) to be held on June 7, 2023, at 11:00 a.m. Pacific Daylight Time, and any postponements, adjournments or continuations thereof. The Annual Meeting will be held online at </w:t>
      </w:r>
      <w:r>
        <w:rPr>
          <w:rFonts w:ascii="Arial" w:cs="Arial" w:eastAsia="Arial" w:hAnsi="Arial"/>
          <w:sz w:val="18"/>
          <w:szCs w:val="18"/>
          <w:b w:val="1"/>
          <w:bCs w:val="1"/>
          <w:u w:val="single" w:color="auto"/>
          <w:color w:val="auto"/>
        </w:rPr>
        <w:t>www.virtualshareholdermeeting.com/QLYS2023</w:t>
      </w:r>
      <w:r>
        <w:rPr>
          <w:rFonts w:ascii="Arial" w:cs="Arial" w:eastAsia="Arial" w:hAnsi="Arial"/>
          <w:sz w:val="18"/>
          <w:szCs w:val="18"/>
          <w:color w:val="auto"/>
        </w:rPr>
        <w:t>, where stockholders will be able to listen to the meeting live, vote and submit questions. There will be no physical location for stockholders to attend the meeting.</w:t>
      </w:r>
    </w:p>
    <w:p>
      <w:pPr>
        <w:spacing w:after="0" w:line="176" w:lineRule="exact"/>
        <w:rPr>
          <w:sz w:val="20"/>
          <w:szCs w:val="20"/>
          <w:color w:val="auto"/>
        </w:rPr>
      </w:pPr>
    </w:p>
    <w:p>
      <w:pPr>
        <w:ind w:right="300" w:firstLine="440"/>
        <w:spacing w:after="0" w:line="271" w:lineRule="auto"/>
        <w:rPr>
          <w:sz w:val="20"/>
          <w:szCs w:val="20"/>
          <w:color w:val="auto"/>
        </w:rPr>
      </w:pPr>
      <w:r>
        <w:rPr>
          <w:rFonts w:ascii="Arial" w:cs="Arial" w:eastAsia="Arial" w:hAnsi="Arial"/>
          <w:sz w:val="18"/>
          <w:szCs w:val="18"/>
          <w:color w:val="auto"/>
        </w:rPr>
        <w:t>On or about April 20, 2023, we expect to mail to our stockholders a Notice of Internet Availability of Proxy Materials (the “Notice”) containing instructions on how to access this proxy statement and our 2022 annual report to stockholders.</w:t>
      </w:r>
    </w:p>
    <w:p>
      <w:pPr>
        <w:spacing w:after="0" w:line="154" w:lineRule="exact"/>
        <w:rPr>
          <w:sz w:val="20"/>
          <w:szCs w:val="20"/>
          <w:color w:val="auto"/>
        </w:rPr>
      </w:pPr>
    </w:p>
    <w:p>
      <w:pPr>
        <w:ind w:right="300" w:firstLine="440"/>
        <w:spacing w:after="0" w:line="271"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participate in the Annual Meeting?</w:t>
      </w:r>
    </w:p>
    <w:p>
      <w:pPr>
        <w:spacing w:after="0" w:line="104"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 xml:space="preserve">To participate in the Annual Meeting, visit </w:t>
      </w:r>
      <w:r>
        <w:rPr>
          <w:rFonts w:ascii="Arial" w:cs="Arial" w:eastAsia="Arial" w:hAnsi="Arial"/>
          <w:sz w:val="18"/>
          <w:szCs w:val="18"/>
          <w:b w:val="1"/>
          <w:bCs w:val="1"/>
          <w:u w:val="single" w:color="auto"/>
          <w:color w:val="auto"/>
        </w:rPr>
        <w:t>www.virtualshareholdermeeting.com/QLYS2023</w:t>
      </w:r>
      <w:r>
        <w:rPr>
          <w:rFonts w:ascii="Arial" w:cs="Arial" w:eastAsia="Arial" w:hAnsi="Arial"/>
          <w:sz w:val="18"/>
          <w:szCs w:val="18"/>
          <w:color w:val="auto"/>
        </w:rPr>
        <w:t xml:space="preserve"> and enter your control number as indicated. You can find your control number on your Notice, proxy card (if you received a printed copy of the proxy materials) or the instructions that accompanied your proxy materials. You will be able to log into the virtual meeting platform beginning at 10:45 a.m. Pacific Daylight Time on June 7, 2023. The meeting will begin promptly at 11:00 a.m. Pacific Daylight Time on June 7, 2023. We encourage you to log into the virtual meeting platform and ensure you can hear streaming audio prior to the meeting start time.</w:t>
      </w:r>
    </w:p>
    <w:p>
      <w:pPr>
        <w:spacing w:after="0" w:line="176" w:lineRule="exact"/>
        <w:rPr>
          <w:sz w:val="20"/>
          <w:szCs w:val="20"/>
          <w:color w:val="auto"/>
        </w:rPr>
      </w:pPr>
    </w:p>
    <w:p>
      <w:pPr>
        <w:jc w:val="both"/>
        <w:ind w:right="220" w:firstLine="440"/>
        <w:spacing w:after="0" w:line="253" w:lineRule="auto"/>
        <w:rPr>
          <w:sz w:val="20"/>
          <w:szCs w:val="20"/>
          <w:color w:val="auto"/>
        </w:rPr>
      </w:pPr>
      <w:r>
        <w:rPr>
          <w:rFonts w:ascii="Arial" w:cs="Arial" w:eastAsia="Arial" w:hAnsi="Arial"/>
          <w:sz w:val="18"/>
          <w:szCs w:val="18"/>
          <w:color w:val="auto"/>
        </w:rPr>
        <w:t>The virtual meeting platform is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w:t>
      </w:r>
    </w:p>
    <w:p>
      <w:pPr>
        <w:spacing w:after="0" w:line="169" w:lineRule="exact"/>
        <w:rPr>
          <w:sz w:val="20"/>
          <w:szCs w:val="20"/>
          <w:color w:val="auto"/>
        </w:rPr>
      </w:pPr>
    </w:p>
    <w:p>
      <w:pPr>
        <w:ind w:right="200" w:firstLine="440"/>
        <w:spacing w:after="0" w:line="242" w:lineRule="auto"/>
        <w:rPr>
          <w:sz w:val="20"/>
          <w:szCs w:val="20"/>
          <w:color w:val="auto"/>
        </w:rPr>
      </w:pPr>
      <w:r>
        <w:rPr>
          <w:rFonts w:ascii="Arial" w:cs="Arial" w:eastAsia="Arial" w:hAnsi="Arial"/>
          <w:sz w:val="18"/>
          <w:szCs w:val="18"/>
          <w:color w:val="auto"/>
        </w:rPr>
        <w:t>If you wish to submit a question during the meeting, log into the virtual meeting platform,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should be addressed to the appropriate party on the qualys.com website; these questions are not pertinent to meeting matters and, therefore, will not be answered at the Annual Meeting. If we receive substantially similar questions, we may group such questions together and provide a single response to avoid repetition.</w:t>
      </w:r>
    </w:p>
    <w:p>
      <w:pPr>
        <w:spacing w:after="0" w:line="179" w:lineRule="exact"/>
        <w:rPr>
          <w:sz w:val="20"/>
          <w:szCs w:val="20"/>
          <w:color w:val="auto"/>
        </w:rPr>
      </w:pPr>
    </w:p>
    <w:p>
      <w:pPr>
        <w:ind w:right="320" w:firstLine="440"/>
        <w:spacing w:after="0" w:line="271" w:lineRule="auto"/>
        <w:rPr>
          <w:sz w:val="20"/>
          <w:szCs w:val="20"/>
          <w:color w:val="auto"/>
        </w:rPr>
      </w:pPr>
      <w:r>
        <w:rPr>
          <w:rFonts w:ascii="Arial" w:cs="Arial" w:eastAsia="Arial" w:hAnsi="Arial"/>
          <w:sz w:val="18"/>
          <w:szCs w:val="18"/>
          <w:color w:val="auto"/>
        </w:rPr>
        <w:t>If you encounter any difficulties accessing the meeting, please call the technical support number that will be posted on the virtual meeting platform’s log in page.</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1440" w:right="499" w:bottom="1440" w:gutter="0" w:footer="0" w:header="0"/>
        </w:sectPr>
      </w:pPr>
    </w:p>
    <w:bookmarkStart w:id="3" w:name="page4"/>
    <w:bookmarkEnd w:id="3"/>
    <w:p>
      <w:pPr>
        <w:ind w:right="120" w:firstLine="4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stockholders and members of the public can also access the Annual Meeting at the URL above without a control number, but without the right to vote or submit a question.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 instead of a full set of proxy materials?</w:t>
      </w:r>
    </w:p>
    <w:p>
      <w:pPr>
        <w:spacing w:after="0" w:line="104"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2022 annual report to stockholders, primarily via the Internet. On or about April 20, 2023, we expect to mail to our stockholders the Notice, which contains instructions on how to access our proxy materials on the Internet, vote at the meeting, and request printed copies of the proxy materials.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will be voting on:</w:t>
      </w:r>
    </w:p>
    <w:p>
      <w:pPr>
        <w:spacing w:after="0" w:line="117" w:lineRule="exact"/>
        <w:rPr>
          <w:sz w:val="20"/>
          <w:szCs w:val="20"/>
          <w:color w:val="auto"/>
        </w:rPr>
      </w:pPr>
    </w:p>
    <w:p>
      <w:pPr>
        <w:ind w:left="960" w:right="180" w:hanging="424"/>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two Class II directors to hold office until the 2026 annual meeting of stockholders or until their successors are duly elected and qualified;</w:t>
      </w:r>
    </w:p>
    <w:p>
      <w:pPr>
        <w:spacing w:after="0" w:line="59" w:lineRule="exact"/>
        <w:rPr>
          <w:rFonts w:ascii="Arial" w:cs="Arial" w:eastAsia="Arial" w:hAnsi="Arial"/>
          <w:sz w:val="18"/>
          <w:szCs w:val="18"/>
          <w:color w:val="auto"/>
        </w:rPr>
      </w:pPr>
    </w:p>
    <w:p>
      <w:pPr>
        <w:ind w:left="960" w:right="100" w:hanging="424"/>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ratify the appointment of Grant Thornton LLP as our independent registered public accounting firm for our fiscal year ending December 31, 2023;</w:t>
      </w:r>
    </w:p>
    <w:p>
      <w:pPr>
        <w:spacing w:after="0" w:line="59" w:lineRule="exact"/>
        <w:rPr>
          <w:rFonts w:ascii="Arial" w:cs="Arial" w:eastAsia="Arial" w:hAnsi="Arial"/>
          <w:sz w:val="18"/>
          <w:szCs w:val="18"/>
          <w:color w:val="auto"/>
        </w:rPr>
      </w:pPr>
    </w:p>
    <w:p>
      <w:pPr>
        <w:ind w:left="960" w:right="60" w:hanging="424"/>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approve, on an advisory and non-binding basis, the compensation of our named executive officers as described in this proxy statement; and</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meeting.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of directors recommends a vote:</w:t>
      </w:r>
    </w:p>
    <w:p>
      <w:pPr>
        <w:spacing w:after="0" w:line="117"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of the nominees named in this proxy statement for election as Class II directors;</w:t>
      </w:r>
    </w:p>
    <w:p>
      <w:pPr>
        <w:spacing w:after="0" w:line="117" w:lineRule="exact"/>
        <w:rPr>
          <w:rFonts w:ascii="Arial" w:cs="Arial" w:eastAsia="Arial" w:hAnsi="Arial"/>
          <w:sz w:val="18"/>
          <w:szCs w:val="18"/>
          <w:color w:val="auto"/>
        </w:rPr>
      </w:pPr>
    </w:p>
    <w:p>
      <w:pPr>
        <w:ind w:left="960" w:right="280" w:hanging="424"/>
        <w:spacing w:after="0" w:line="27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Grant Thornton LLP as our independent registered public accounting firm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ending December 31, 2023; and</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compensation of our named executive officers as described in this proxy statement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04" w:lineRule="exact"/>
        <w:rPr>
          <w:sz w:val="20"/>
          <w:szCs w:val="20"/>
          <w:color w:val="auto"/>
        </w:rPr>
      </w:pPr>
    </w:p>
    <w:p>
      <w:pPr>
        <w:ind w:right="60" w:firstLine="440"/>
        <w:spacing w:after="0" w:line="244" w:lineRule="auto"/>
        <w:rPr>
          <w:sz w:val="20"/>
          <w:szCs w:val="20"/>
          <w:color w:val="auto"/>
        </w:rPr>
      </w:pPr>
      <w:r>
        <w:rPr>
          <w:rFonts w:ascii="Arial" w:cs="Arial" w:eastAsia="Arial" w:hAnsi="Arial"/>
          <w:sz w:val="18"/>
          <w:szCs w:val="18"/>
          <w:color w:val="auto"/>
        </w:rPr>
        <w:t xml:space="preserve">Holders of our common stock as of the close of business on April 10, 2023, the record date, may vote at the Annual Meeting. As of the record date, we had 36,946,261 shares of common stock outstanding. In deciding all matters at the Annual Meeting, each stockholder will be entitled to one vote for each share of common stock held on the record date. We do not have cumulative voting rights for the election of directors. A list of stockholders entitled to vote at the Annual Meeting will be made available for the examination of any stockholder for any purpose germane to the meeting for ten days prior to the Annual Meeting by email request to ir@qualys.com. The list will also be available for examination online during the meeting at </w:t>
      </w:r>
      <w:r>
        <w:rPr>
          <w:rFonts w:ascii="Arial" w:cs="Arial" w:eastAsia="Arial" w:hAnsi="Arial"/>
          <w:sz w:val="18"/>
          <w:szCs w:val="18"/>
          <w:b w:val="1"/>
          <w:bCs w:val="1"/>
          <w:u w:val="single" w:color="auto"/>
          <w:color w:val="auto"/>
        </w:rPr>
        <w:t>www.virtualshareholdermeeting.com/QLYS2023</w:t>
      </w:r>
      <w:r>
        <w:rPr>
          <w:rFonts w:ascii="Arial" w:cs="Arial" w:eastAsia="Arial" w:hAnsi="Arial"/>
          <w:sz w:val="18"/>
          <w:szCs w:val="18"/>
          <w:color w:val="auto"/>
        </w:rPr>
        <w:t>.</w:t>
      </w:r>
    </w:p>
    <w:p>
      <w:pPr>
        <w:spacing w:after="0" w:line="168" w:lineRule="exact"/>
        <w:rPr>
          <w:sz w:val="20"/>
          <w:szCs w:val="20"/>
          <w:color w:val="auto"/>
        </w:rPr>
      </w:pPr>
    </w:p>
    <w:p>
      <w:pPr>
        <w:ind w:right="840" w:firstLine="440"/>
        <w:spacing w:after="0" w:line="271"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your shares are registered directly in your name with our transfer agent,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record with respect to those shares, and the Notice was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96" w:right="47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provided to you directly by us. As the stockholder of record, you have the right to grant your voting proxy directly to the individuals listed on the proxy card or to vote live at the Annual Meeting.</w:t>
      </w:r>
    </w:p>
    <w:p>
      <w:pPr>
        <w:spacing w:after="0" w:line="154" w:lineRule="exact"/>
        <w:rPr>
          <w:sz w:val="20"/>
          <w:szCs w:val="20"/>
          <w:color w:val="auto"/>
        </w:rPr>
      </w:pPr>
    </w:p>
    <w:p>
      <w:pPr>
        <w:ind w:right="80" w:firstLine="440"/>
        <w:spacing w:after="0"/>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 If your shares are held in a stock brokerage account or by a bank or other nominee,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because a beneficial owner is not the stockholder of record, you may not vote your shares live at the Annual Meeting unless you follow your broker’s procedures for obtaining a legal proxy. If you request a printed copy of the proxy materials by mail, your broker or nominee will provide a voting instruction card for you to use.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there are several ways for you to vote your shares:</w:t>
      </w:r>
    </w:p>
    <w:p>
      <w:pPr>
        <w:spacing w:after="0" w:line="117" w:lineRule="exact"/>
        <w:rPr>
          <w:sz w:val="20"/>
          <w:szCs w:val="20"/>
          <w:color w:val="auto"/>
        </w:rPr>
      </w:pPr>
    </w:p>
    <w:p>
      <w:pPr>
        <w:ind w:left="960" w:right="140" w:hanging="424"/>
        <w:spacing w:after="0" w:line="25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Via the Internet—Before the Annual Meeting</w:t>
      </w:r>
      <w:r>
        <w:rPr>
          <w:rFonts w:ascii="Arial" w:cs="Arial" w:eastAsia="Arial" w:hAnsi="Arial"/>
          <w:sz w:val="18"/>
          <w:szCs w:val="18"/>
          <w:color w:val="auto"/>
        </w:rPr>
        <w:t>. You may vote at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www.proxyvote.com</w:t>
      </w:r>
      <w:r>
        <w:rPr>
          <w:rFonts w:ascii="Arial" w:cs="Arial" w:eastAsia="Arial" w:hAnsi="Arial"/>
          <w:sz w:val="18"/>
          <w:szCs w:val="18"/>
          <w:color w:val="auto"/>
        </w:rPr>
        <w:t>, 24 hours a day, seven days a week,</w:t>
      </w:r>
      <w:r>
        <w:rPr>
          <w:rFonts w:ascii="Arial" w:cs="Arial" w:eastAsia="Arial" w:hAnsi="Arial"/>
          <w:sz w:val="18"/>
          <w:szCs w:val="18"/>
          <w:b w:val="1"/>
          <w:bCs w:val="1"/>
          <w:color w:val="auto"/>
        </w:rPr>
        <w:t xml:space="preserve"> </w:t>
      </w:r>
      <w:r>
        <w:rPr>
          <w:rFonts w:ascii="Arial" w:cs="Arial" w:eastAsia="Arial" w:hAnsi="Arial"/>
          <w:sz w:val="18"/>
          <w:szCs w:val="18"/>
          <w:color w:val="auto"/>
        </w:rPr>
        <w:t>until 11:59 p.m. Eastern Daylight Time on June 6, 2023. You will need the control number included on your Notice or your proxy card (if you received a printed copy of the proxy materials).</w:t>
      </w:r>
    </w:p>
    <w:p>
      <w:pPr>
        <w:spacing w:after="0" w:line="74" w:lineRule="exact"/>
        <w:rPr>
          <w:rFonts w:ascii="Arial" w:cs="Arial" w:eastAsia="Arial" w:hAnsi="Arial"/>
          <w:sz w:val="18"/>
          <w:szCs w:val="18"/>
          <w:color w:val="auto"/>
        </w:rPr>
      </w:pPr>
    </w:p>
    <w:p>
      <w:pPr>
        <w:jc w:val="both"/>
        <w:ind w:left="960" w:right="80" w:hanging="424"/>
        <w:spacing w:after="0" w:line="25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Via the Internet—During the Annual Meeting</w:t>
      </w:r>
      <w:r>
        <w:rPr>
          <w:rFonts w:ascii="Arial" w:cs="Arial" w:eastAsia="Arial" w:hAnsi="Arial"/>
          <w:sz w:val="18"/>
          <w:szCs w:val="18"/>
          <w:color w:val="auto"/>
        </w:rPr>
        <w:t>. You may vote live at the Annual Meeting through the virtual meeting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logging into </w:t>
      </w:r>
      <w:r>
        <w:rPr>
          <w:rFonts w:ascii="Arial" w:cs="Arial" w:eastAsia="Arial" w:hAnsi="Arial"/>
          <w:sz w:val="18"/>
          <w:szCs w:val="18"/>
          <w:b w:val="1"/>
          <w:bCs w:val="1"/>
          <w:u w:val="single" w:color="auto"/>
          <w:color w:val="auto"/>
        </w:rPr>
        <w:t>www.virtualshareholdermeeting.com/QLYS2023</w:t>
      </w:r>
      <w:r>
        <w:rPr>
          <w:rFonts w:ascii="Arial" w:cs="Arial" w:eastAsia="Arial" w:hAnsi="Arial"/>
          <w:sz w:val="18"/>
          <w:szCs w:val="18"/>
          <w:color w:val="auto"/>
        </w:rPr>
        <w:t>. You will need the control number included on your Notice or your proxy card (if you received a printed copy of the proxy materials).</w:t>
      </w:r>
    </w:p>
    <w:p>
      <w:pPr>
        <w:spacing w:after="0" w:line="74" w:lineRule="exact"/>
        <w:rPr>
          <w:rFonts w:ascii="Arial" w:cs="Arial" w:eastAsia="Arial" w:hAnsi="Arial"/>
          <w:sz w:val="18"/>
          <w:szCs w:val="18"/>
          <w:color w:val="auto"/>
        </w:rPr>
      </w:pPr>
    </w:p>
    <w:p>
      <w:pPr>
        <w:ind w:left="960" w:right="220" w:hanging="424"/>
        <w:spacing w:after="0" w:line="25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You may vote using a touch-tone telephone by calling 1-800-690-6903, 24 hours a day, seven days a week,</w:t>
      </w:r>
      <w:r>
        <w:rPr>
          <w:rFonts w:ascii="Arial" w:cs="Arial" w:eastAsia="Arial" w:hAnsi="Arial"/>
          <w:sz w:val="18"/>
          <w:szCs w:val="18"/>
          <w:b w:val="1"/>
          <w:bCs w:val="1"/>
          <w:color w:val="auto"/>
        </w:rPr>
        <w:t xml:space="preserve"> </w:t>
      </w:r>
      <w:r>
        <w:rPr>
          <w:rFonts w:ascii="Arial" w:cs="Arial" w:eastAsia="Arial" w:hAnsi="Arial"/>
          <w:sz w:val="18"/>
          <w:szCs w:val="18"/>
          <w:color w:val="auto"/>
        </w:rPr>
        <w:t>until 11:59 p.m. Eastern Daylight Time on June 6, 2023. You will need the control number included on your Notice or your proxy card (if you received a printed copy of the proxy materials).</w:t>
      </w:r>
    </w:p>
    <w:p>
      <w:pPr>
        <w:spacing w:after="0" w:line="74" w:lineRule="exact"/>
        <w:rPr>
          <w:rFonts w:ascii="Arial" w:cs="Arial" w:eastAsia="Arial" w:hAnsi="Arial"/>
          <w:sz w:val="18"/>
          <w:szCs w:val="18"/>
          <w:color w:val="auto"/>
        </w:rPr>
      </w:pPr>
    </w:p>
    <w:p>
      <w:pPr>
        <w:ind w:left="960" w:right="60" w:hanging="424"/>
        <w:spacing w:after="0" w:line="25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If you received printed proxy materials, you may submit your vote by completing, signing and dating each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and returning it in the prepaid envelope. Sign your name exactly as it appears on the proxy card. Proxy cards submitted by mail must be received no later than June 6, 2023, to be voted at the Annual Meeting.</w:t>
      </w:r>
    </w:p>
    <w:p>
      <w:pPr>
        <w:spacing w:after="0" w:line="169" w:lineRule="exact"/>
        <w:rPr>
          <w:sz w:val="20"/>
          <w:szCs w:val="20"/>
          <w:color w:val="auto"/>
        </w:rPr>
      </w:pPr>
    </w:p>
    <w:p>
      <w:pPr>
        <w:ind w:right="100" w:firstLine="440"/>
        <w:spacing w:after="0" w:line="247"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are a beneficial owner, you should have received a Notice or voting instructions from the broker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holding your shares. You should follow the instructions in the Notice or voting instructions provided by your broker or nominee in order to instruct your broker or other nominee on how to vote your shares. The availability of telephone and Internet voting will depend on the voting process of the broker or nominee.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can change your vote or revoke your proxy any time before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by:</w:t>
      </w:r>
    </w:p>
    <w:p>
      <w:pPr>
        <w:spacing w:after="0" w:line="99" w:lineRule="exact"/>
        <w:rPr>
          <w:sz w:val="20"/>
          <w:szCs w:val="20"/>
          <w:color w:val="auto"/>
        </w:rPr>
      </w:pPr>
    </w:p>
    <w:p>
      <w:pPr>
        <w:ind w:left="960" w:right="220" w:hanging="424"/>
        <w:spacing w:after="0" w:line="271"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entering a new vote by Internet or by telephone (only your latest Internet or telephone proxy received by 11:59 p.m. Eastern Daylight Time on June 6, 2023, will be counted);</w:t>
      </w:r>
    </w:p>
    <w:p>
      <w:pPr>
        <w:spacing w:after="0" w:line="59" w:lineRule="exact"/>
        <w:rPr>
          <w:rFonts w:ascii="Arial" w:cs="Arial" w:eastAsia="Arial" w:hAnsi="Arial"/>
          <w:sz w:val="18"/>
          <w:szCs w:val="18"/>
          <w:color w:val="auto"/>
        </w:rPr>
      </w:pPr>
    </w:p>
    <w:p>
      <w:pPr>
        <w:ind w:left="960" w:right="360" w:hanging="424"/>
        <w:spacing w:after="0" w:line="26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 to Qualys, Inc., Attention: Corporate Secretary, 919 East Hillsdale Blvd.,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Foster City, California 94404, to be received no later than June 6,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96" w:right="459" w:bottom="1440" w:gutter="0" w:footer="0" w:header="0"/>
        </w:sectPr>
      </w:pPr>
    </w:p>
    <w:bookmarkStart w:id="5" w:name="page6"/>
    <w:bookmarkEnd w:id="5"/>
    <w:p>
      <w:pPr>
        <w:ind w:left="960" w:right="180" w:hanging="424"/>
        <w:spacing w:after="0" w:line="20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delivering a written revocation to Qualys, Inc., Attention: Corporate Secretary, 919 East Hillsdale Blvd.,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Foster City, California 94404, to be received no later than June 6, 2023; or</w:t>
      </w:r>
    </w:p>
    <w:p>
      <w:pPr>
        <w:spacing w:after="0" w:line="85"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participating in the Annual Meeting live via the Internet and voting again.</w:t>
      </w:r>
    </w:p>
    <w:p>
      <w:pPr>
        <w:spacing w:after="0" w:line="212" w:lineRule="exact"/>
        <w:rPr>
          <w:sz w:val="20"/>
          <w:szCs w:val="20"/>
          <w:color w:val="auto"/>
        </w:rPr>
      </w:pPr>
    </w:p>
    <w:p>
      <w:pPr>
        <w:ind w:right="160" w:firstLine="440"/>
        <w:spacing w:after="0" w:line="271"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are a beneficial owner, you must contact the broker or other nominee holding your shares and follow their</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for changing your vote or revoking your proxy.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04"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104"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8"/>
          <w:szCs w:val="18"/>
          <w:color w:val="auto"/>
        </w:rPr>
        <w:t>A quorum is the minimum number of shares required to be present at a meeting of stockholders for action to be taken at the meeting. Under our bylaws, the presence, live or represented by proxy (including any abstentions and “broker non-votes”), of a majority of all issued and outstanding shares of common stock entitled to vote at the Annual Meeting will constitute a quorum at the meeting.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104" w:lineRule="exact"/>
        <w:rPr>
          <w:sz w:val="20"/>
          <w:szCs w:val="20"/>
          <w:color w:val="auto"/>
        </w:rPr>
      </w:pPr>
    </w:p>
    <w:p>
      <w:pPr>
        <w:ind w:right="20" w:firstLine="440"/>
        <w:spacing w:after="0" w:line="242" w:lineRule="auto"/>
        <w:rPr>
          <w:sz w:val="20"/>
          <w:szCs w:val="20"/>
          <w:color w:val="auto"/>
        </w:rPr>
      </w:pPr>
      <w:r>
        <w:rPr>
          <w:rFonts w:ascii="Arial" w:cs="Arial" w:eastAsia="Arial" w:hAnsi="Arial"/>
          <w:sz w:val="18"/>
          <w:szCs w:val="18"/>
          <w:color w:val="auto"/>
        </w:rPr>
        <w:t>When a broker, bank or other nominee votes a client’s shares on some but not all of the proposals, the missing votes are referred to as “broker non-votes.” If you are a beneficial owner and do not provide timely voting instructions to your bank, broker or other nominee, that organization will have discretion to vote your shares on our sole “routine” matter—Proposal No. 2 to ratify the appointment of Grant Thornton LLP. The election of directors and the advisory vote to approve executive compensation are non-discretionary items and may not be voted on by brokers, banks or other nominees who have not received specific voting instructions from beneficial owners. Therefore, broker non-votes may exist in connection with Proposals No. 1 and No. 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117" w:lineRule="exact"/>
        <w:rPr>
          <w:sz w:val="20"/>
          <w:szCs w:val="20"/>
          <w:color w:val="auto"/>
        </w:rPr>
      </w:pPr>
    </w:p>
    <w:p>
      <w:pPr>
        <w:ind w:left="960" w:hanging="424"/>
        <w:spacing w:after="0" w:line="244"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directors requires a plurality of the votes cast at the meeting, meaning that the individuals who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the largest number of votes cast “for” their election are elected as directors. As a result, any shares not voted “for” a particular nominee (whether as a result of “withhold” votes or broker non-votes) will not be counted in such nominee’s favor and will have no effect on the outcome of the election. You may vote “for” or “withhold” on each of the nominees for election as a director.</w:t>
      </w:r>
    </w:p>
    <w:p>
      <w:pPr>
        <w:spacing w:after="0" w:line="81" w:lineRule="exact"/>
        <w:rPr>
          <w:rFonts w:ascii="Arial" w:cs="Arial" w:eastAsia="Arial" w:hAnsi="Arial"/>
          <w:sz w:val="18"/>
          <w:szCs w:val="18"/>
          <w:color w:val="auto"/>
        </w:rPr>
      </w:pPr>
    </w:p>
    <w:p>
      <w:pPr>
        <w:ind w:left="960" w:right="20" w:hanging="424"/>
        <w:spacing w:after="0" w:line="24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Grant Thornton LLP must receive the affirmative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virtually or by proxy during the meeting and entitled to vote thereon to be approved. You may vote “for,” “against” or “abstain” on this proposal. Abstentions represent shares present and entitled to vote and thus, will have the same effect as votes “against” this proposal.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96" w:right="459" w:bottom="1440" w:gutter="0" w:footer="0" w:header="0"/>
        </w:sectPr>
      </w:pPr>
    </w:p>
    <w:bookmarkStart w:id="6" w:name="page7"/>
    <w:bookmarkEnd w:id="6"/>
    <w:p>
      <w:pPr>
        <w:ind w:left="960" w:hanging="424"/>
        <w:spacing w:after="0" w:line="242"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Proposal No. 3: </w:t>
      </w:r>
      <w:r>
        <w:rPr>
          <w:rFonts w:ascii="Arial" w:cs="Arial" w:eastAsia="Arial" w:hAnsi="Arial"/>
          <w:sz w:val="18"/>
          <w:szCs w:val="18"/>
          <w:color w:val="auto"/>
        </w:rPr>
        <w:t>The approval, on an advisory and non-binding basis, of the compensation of our named executive officers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this proxy statement must receive the affirmative vote of a majority of the shares present virtually or by proxy during the meeting and entitled to vote thereon to be approved. You may vote “for,” “against” or “abstain” on this proposal. Abstentions represent shares present and entitled to vote and thus, will have the same effect as votes “against” this proposal. Broker non-votes will have no effect on the outcome of this proposal because they represent shares that are not entitled to vote on the matter.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104" w:lineRule="exact"/>
        <w:rPr>
          <w:sz w:val="20"/>
          <w:szCs w:val="20"/>
          <w:color w:val="auto"/>
        </w:rPr>
      </w:pPr>
    </w:p>
    <w:p>
      <w:pPr>
        <w:jc w:val="both"/>
        <w:ind w:right="100" w:firstLine="440"/>
        <w:spacing w:after="0" w:line="253" w:lineRule="auto"/>
        <w:rPr>
          <w:sz w:val="20"/>
          <w:szCs w:val="20"/>
          <w:color w:val="auto"/>
        </w:rPr>
      </w:pPr>
      <w:r>
        <w:rPr>
          <w:rFonts w:ascii="Arial" w:cs="Arial" w:eastAsia="Arial" w:hAnsi="Arial"/>
          <w:sz w:val="18"/>
          <w:szCs w:val="18"/>
          <w:color w:val="auto"/>
        </w:rPr>
        <w:t>Our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104" w:lineRule="exact"/>
        <w:rPr>
          <w:sz w:val="20"/>
          <w:szCs w:val="20"/>
          <w:color w:val="auto"/>
        </w:rPr>
      </w:pPr>
    </w:p>
    <w:p>
      <w:pPr>
        <w:jc w:val="both"/>
        <w:ind w:right="240" w:firstLine="440"/>
        <w:spacing w:after="0" w:line="253"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04" w:lineRule="exact"/>
        <w:rPr>
          <w:sz w:val="20"/>
          <w:szCs w:val="20"/>
          <w:color w:val="auto"/>
        </w:rPr>
      </w:pPr>
    </w:p>
    <w:p>
      <w:pPr>
        <w:jc w:val="both"/>
        <w:ind w:firstLine="440"/>
        <w:spacing w:after="0" w:line="247"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p>
    <w:p>
      <w:pPr>
        <w:spacing w:after="0" w:line="282"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28" w:lineRule="exact"/>
        <w:rPr>
          <w:sz w:val="20"/>
          <w:szCs w:val="20"/>
          <w:color w:val="auto"/>
        </w:rPr>
      </w:pPr>
    </w:p>
    <w:p>
      <w:pPr>
        <w:ind w:right="100" w:firstLine="440"/>
        <w:spacing w:after="0" w:line="257" w:lineRule="auto"/>
        <w:rPr>
          <w:sz w:val="20"/>
          <w:szCs w:val="20"/>
          <w:color w:val="auto"/>
        </w:rPr>
      </w:pPr>
      <w:r>
        <w:rPr>
          <w:rFonts w:ascii="Arial" w:cs="Arial" w:eastAsia="Arial" w:hAnsi="Arial"/>
          <w:sz w:val="17"/>
          <w:szCs w:val="17"/>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Qualys only send a single copy, of the Notice and, if applicable, the proxy materials, stockholders may contact us as follows: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Qualys,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Investor Relations</w:t>
      </w:r>
    </w:p>
    <w:p>
      <w:pPr>
        <w:jc w:val="center"/>
        <w:ind w:right="-79"/>
        <w:spacing w:after="0" w:line="183" w:lineRule="auto"/>
        <w:rPr>
          <w:sz w:val="20"/>
          <w:szCs w:val="20"/>
          <w:color w:val="auto"/>
        </w:rPr>
      </w:pPr>
      <w:r>
        <w:rPr>
          <w:rFonts w:ascii="Arial" w:cs="Arial" w:eastAsia="Arial" w:hAnsi="Arial"/>
          <w:sz w:val="16"/>
          <w:szCs w:val="16"/>
          <w:color w:val="auto"/>
        </w:rPr>
        <w:t>919 East Hillsdale Boulevard, 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w:t>
      </w:r>
    </w:p>
    <w:p>
      <w:pPr>
        <w:jc w:val="center"/>
        <w:ind w:right="-79"/>
        <w:spacing w:after="0" w:line="235" w:lineRule="auto"/>
        <w:rPr>
          <w:sz w:val="20"/>
          <w:szCs w:val="20"/>
          <w:color w:val="auto"/>
        </w:rPr>
      </w:pPr>
      <w:r>
        <w:rPr>
          <w:rFonts w:ascii="Arial" w:cs="Arial" w:eastAsia="Arial" w:hAnsi="Arial"/>
          <w:sz w:val="18"/>
          <w:szCs w:val="18"/>
          <w:color w:val="auto"/>
        </w:rPr>
        <w:t>Foster City, California 94404</w:t>
      </w:r>
    </w:p>
    <w:p>
      <w:pPr>
        <w:spacing w:after="0" w:line="1" w:lineRule="exact"/>
        <w:rPr>
          <w:sz w:val="20"/>
          <w:szCs w:val="20"/>
          <w:color w:val="auto"/>
        </w:rPr>
      </w:pPr>
    </w:p>
    <w:p>
      <w:pPr>
        <w:jc w:val="both"/>
        <w:ind w:left="4900" w:right="4800" w:hanging="11"/>
        <w:spacing w:after="0" w:line="250" w:lineRule="auto"/>
        <w:tabs>
          <w:tab w:leader="none" w:pos="53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801-6100 ir@qualys.com</w:t>
      </w:r>
    </w:p>
    <w:p>
      <w:pPr>
        <w:spacing w:after="0" w:line="172" w:lineRule="exact"/>
        <w:rPr>
          <w:sz w:val="20"/>
          <w:szCs w:val="20"/>
          <w:color w:val="auto"/>
        </w:rPr>
      </w:pPr>
    </w:p>
    <w:p>
      <w:pPr>
        <w:ind w:right="140" w:firstLine="440"/>
        <w:spacing w:after="0" w:line="271"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similar organization to request information about householding.</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96" w:right="539" w:bottom="1440" w:gutter="0" w:footer="0" w:header="0"/>
        </w:sectPr>
      </w:pPr>
    </w:p>
    <w:bookmarkStart w:id="7" w:name="page8"/>
    <w:bookmarkEnd w:id="7"/>
    <w:p>
      <w:pPr>
        <w:ind w:left="4" w:right="80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What is the deadline to propose actions for consideration at next year’s annual meeting of stockholders or to nominate individuals to serve as directors?</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Stockholder Proposals</w:t>
      </w:r>
    </w:p>
    <w:p>
      <w:pPr>
        <w:spacing w:after="0" w:line="102" w:lineRule="exact"/>
        <w:rPr>
          <w:sz w:val="20"/>
          <w:szCs w:val="20"/>
          <w:color w:val="auto"/>
        </w:rPr>
      </w:pPr>
    </w:p>
    <w:p>
      <w:pPr>
        <w:ind w:left="4" w:right="120" w:firstLine="440"/>
        <w:spacing w:after="0" w:line="242"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2024 annual meeting of stockholders, our Corporate Secretary must receive the written proposal at our principal executive offices not later than December 22, 2023. In addition, stockholder proposals must comply with the requirements of Rule 14a-8 under the Securities Exchange Act of 1934, as amended (the “Exchange Act”) regarding the inclusion of stockholder proposals in company-sponsored proxy materials. Proposals should be addressed to:</w:t>
      </w:r>
    </w:p>
    <w:p>
      <w:pPr>
        <w:spacing w:after="0" w:line="1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Qualys, Inc.</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Attention: Corporate Secretary</w:t>
      </w:r>
    </w:p>
    <w:p>
      <w:pPr>
        <w:jc w:val="center"/>
        <w:ind w:right="-23"/>
        <w:spacing w:after="0" w:line="183" w:lineRule="auto"/>
        <w:rPr>
          <w:sz w:val="20"/>
          <w:szCs w:val="20"/>
          <w:color w:val="auto"/>
        </w:rPr>
      </w:pPr>
      <w:r>
        <w:rPr>
          <w:rFonts w:ascii="Arial" w:cs="Arial" w:eastAsia="Arial" w:hAnsi="Arial"/>
          <w:sz w:val="16"/>
          <w:szCs w:val="16"/>
          <w:color w:val="auto"/>
        </w:rPr>
        <w:t>919 East Hillsdale Boulevard, 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Foster City, California 94404</w:t>
      </w:r>
    </w:p>
    <w:p>
      <w:pPr>
        <w:spacing w:after="0" w:line="194" w:lineRule="exact"/>
        <w:rPr>
          <w:sz w:val="20"/>
          <w:szCs w:val="20"/>
          <w:color w:val="auto"/>
        </w:rPr>
      </w:pPr>
    </w:p>
    <w:p>
      <w:pPr>
        <w:ind w:left="4" w:firstLine="440"/>
        <w:spacing w:after="0" w:line="241"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for that meeting. Our bylaws provide that the only business that may be conducted at an annual meeting is business that is (i) specified in our proxy materials with respect to such meeting,</w:t>
      </w:r>
    </w:p>
    <w:p>
      <w:pPr>
        <w:spacing w:after="0" w:line="2" w:lineRule="exact"/>
        <w:rPr>
          <w:sz w:val="20"/>
          <w:szCs w:val="20"/>
          <w:color w:val="auto"/>
        </w:rPr>
      </w:pPr>
    </w:p>
    <w:p>
      <w:pPr>
        <w:jc w:val="both"/>
        <w:ind w:left="4" w:hanging="4"/>
        <w:spacing w:after="0" w:line="239" w:lineRule="auto"/>
        <w:tabs>
          <w:tab w:leader="none" w:pos="2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our board of directors, or (iii) properly brought before the meeting by a stockholder who (A) is a stockholder of record at the time of giving the required notice and on the record date for the determination of stockholders entitled to vote at the annual meeting and (B) has delivered timely written notice to our Corporate Secretary, which notice must contain the information specified in our bylaws. To be timely for our 2024 annual meeting of stockholders, our Corporate Secretary must receive the written notice at our principal executive offices:</w:t>
      </w:r>
    </w:p>
    <w:p>
      <w:pPr>
        <w:spacing w:after="0" w:line="85"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 earlier than 8:00 a.m. Eastern Time on February 8, 2024; and</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 later than 5:00 p.m. Eastern Time on March 9, 2024.</w:t>
      </w:r>
    </w:p>
    <w:p>
      <w:pPr>
        <w:spacing w:after="0" w:line="212" w:lineRule="exact"/>
        <w:rPr>
          <w:sz w:val="20"/>
          <w:szCs w:val="20"/>
          <w:color w:val="auto"/>
        </w:rPr>
      </w:pPr>
    </w:p>
    <w:p>
      <w:pPr>
        <w:ind w:left="4" w:right="20" w:firstLine="440"/>
        <w:spacing w:after="0" w:line="247" w:lineRule="auto"/>
        <w:rPr>
          <w:sz w:val="20"/>
          <w:szCs w:val="20"/>
          <w:color w:val="auto"/>
        </w:rPr>
      </w:pPr>
      <w:r>
        <w:rPr>
          <w:rFonts w:ascii="Arial" w:cs="Arial" w:eastAsia="Arial" w:hAnsi="Arial"/>
          <w:sz w:val="18"/>
          <w:szCs w:val="18"/>
          <w:color w:val="auto"/>
        </w:rPr>
        <w:t>In the event that we hold our 2024 annual meeting of stockholders more than 25 days before or after the one-year anniversary of the date of the Annual Meeting, then notice of a stockholder proposal that is not intended to be included in our proxy statement must be received no earlier than 8:00 a.m. Eastern Time on the 120th day before such annual meeting and no later than 5:00 p.m. Eastern Time on the later of the following two dates:</w:t>
      </w:r>
    </w:p>
    <w:p>
      <w:pPr>
        <w:spacing w:after="0" w:line="79" w:lineRule="exact"/>
        <w:rPr>
          <w:sz w:val="20"/>
          <w:szCs w:val="20"/>
          <w:color w:val="auto"/>
        </w:rPr>
      </w:pPr>
    </w:p>
    <w:p>
      <w:pPr>
        <w:ind w:left="964" w:hanging="424"/>
        <w:spacing w:after="0"/>
        <w:tabs>
          <w:tab w:leader="none" w:pos="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212" w:lineRule="exact"/>
        <w:rPr>
          <w:sz w:val="20"/>
          <w:szCs w:val="20"/>
          <w:color w:val="auto"/>
        </w:rPr>
      </w:pPr>
    </w:p>
    <w:p>
      <w:pPr>
        <w:ind w:left="4" w:right="60" w:firstLine="440"/>
        <w:spacing w:after="0" w:line="271"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w:t>
      </w:r>
    </w:p>
    <w:p>
      <w:pPr>
        <w:spacing w:after="0" w:line="264"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Nomination of Director Candidates</w:t>
      </w:r>
    </w:p>
    <w:p>
      <w:pPr>
        <w:spacing w:after="0" w:line="102" w:lineRule="exact"/>
        <w:rPr>
          <w:sz w:val="20"/>
          <w:szCs w:val="20"/>
          <w:color w:val="auto"/>
        </w:rPr>
      </w:pPr>
    </w:p>
    <w:p>
      <w:pPr>
        <w:jc w:val="both"/>
        <w:ind w:left="4" w:right="220" w:firstLine="440"/>
        <w:spacing w:after="0" w:line="253" w:lineRule="auto"/>
        <w:rPr>
          <w:sz w:val="20"/>
          <w:szCs w:val="20"/>
          <w:color w:val="auto"/>
        </w:rPr>
      </w:pPr>
      <w:r>
        <w:rPr>
          <w:rFonts w:ascii="Arial" w:cs="Arial" w:eastAsia="Arial" w:hAnsi="Arial"/>
          <w:sz w:val="18"/>
          <w:szCs w:val="18"/>
          <w:color w:val="auto"/>
        </w:rPr>
        <w:t>Stockholders may propose director candidates for consideration by the Nominating and ESG Committee of our board of directors. Any such recommendations should include the nominee’s name and qualifications for membership on our board of directors and should be directed to the Corporate</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96" w:right="479" w:bottom="1440" w:gutter="0" w:footer="0" w:header="0"/>
        </w:sectPr>
      </w:pPr>
    </w:p>
    <w:bookmarkStart w:id="8" w:name="page9"/>
    <w:bookmarkEnd w:id="8"/>
    <w:p>
      <w:pPr>
        <w:jc w:val="both"/>
        <w:ind w:right="2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Secretary of Qualys, Inc. at the address set forth above. For additional information regarding stockholder recommendations for director candidates, see the section entitled “</w:t>
      </w:r>
      <w:r>
        <w:rPr>
          <w:rFonts w:ascii="Arial" w:cs="Arial" w:eastAsia="Arial" w:hAnsi="Arial"/>
          <w:sz w:val="18"/>
          <w:szCs w:val="18"/>
          <w:i w:val="1"/>
          <w:iCs w:val="1"/>
          <w:color w:val="auto"/>
        </w:rPr>
        <w:t>Board of Directors and Corporate Governance—Stockholder Recommendations for Nominations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the Board of Directors</w:t>
      </w:r>
      <w:r>
        <w:rPr>
          <w:rFonts w:ascii="Arial" w:cs="Arial" w:eastAsia="Arial" w:hAnsi="Arial"/>
          <w:sz w:val="18"/>
          <w:szCs w:val="18"/>
          <w:color w:val="auto"/>
        </w:rPr>
        <w:t>” below.</w:t>
      </w:r>
    </w:p>
    <w:p>
      <w:pPr>
        <w:spacing w:after="0" w:line="169"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w:t>
      </w:r>
      <w:r>
        <w:rPr>
          <w:rFonts w:ascii="Arial" w:cs="Arial" w:eastAsia="Arial" w:hAnsi="Arial"/>
          <w:sz w:val="18"/>
          <w:szCs w:val="18"/>
          <w:i w:val="1"/>
          <w:iCs w:val="1"/>
          <w:color w:val="auto"/>
        </w:rPr>
        <w:t>Stockholder Proposals</w:t>
      </w:r>
      <w:r>
        <w:rPr>
          <w:rFonts w:ascii="Arial" w:cs="Arial" w:eastAsia="Arial" w:hAnsi="Arial"/>
          <w:sz w:val="18"/>
          <w:szCs w:val="18"/>
          <w:color w:val="auto"/>
        </w:rPr>
        <w:t>” for stockholder proposals that are not intended to be included in our proxy statement.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102" w:lineRule="exact"/>
        <w:rPr>
          <w:sz w:val="20"/>
          <w:szCs w:val="20"/>
          <w:color w:val="auto"/>
        </w:rPr>
      </w:pPr>
    </w:p>
    <w:p>
      <w:pPr>
        <w:ind w:right="140" w:firstLine="440"/>
        <w:spacing w:after="0" w:line="253" w:lineRule="auto"/>
        <w:rPr>
          <w:sz w:val="20"/>
          <w:szCs w:val="20"/>
          <w:color w:val="auto"/>
        </w:rPr>
      </w:pPr>
      <w:r>
        <w:rPr>
          <w:rFonts w:ascii="Arial" w:cs="Arial" w:eastAsia="Arial" w:hAnsi="Arial"/>
          <w:sz w:val="18"/>
          <w:szCs w:val="18"/>
          <w:color w:val="auto"/>
        </w:rPr>
        <w:t>A copy of our bylaws is available on our website at http://investor.qualys.com. You may also contact our Corporate Secretary at our principal executive offices for a copy of the relevant bylaw provisions regarding the requirements for making stockholder proposals and nominating director candidates.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96" w:right="4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BOARD OF DIRECTORS AND CORPORATE GOVERNANCE</w:t>
      </w:r>
    </w:p>
    <w:p>
      <w:pPr>
        <w:spacing w:after="0" w:line="212"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Our business affairs are managed under the direction of our board of directors, which is currently composed of seven members, six of whom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 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382"/>
        </w:trPr>
        <w:tc>
          <w:tcPr>
            <w:tcW w:w="3740" w:type="dxa"/>
            <w:vAlign w:val="bottom"/>
            <w:shd w:val="clear" w:color="auto" w:fill="FF0C07"/>
          </w:tcPr>
          <w:p>
            <w:pPr>
              <w:jc w:val="center"/>
              <w:spacing w:after="0"/>
              <w:rPr>
                <w:sz w:val="20"/>
                <w:szCs w:val="20"/>
                <w:color w:val="auto"/>
              </w:rPr>
            </w:pPr>
            <w:r>
              <w:rPr>
                <w:rFonts w:ascii="Arial" w:cs="Arial" w:eastAsia="Arial" w:hAnsi="Arial"/>
                <w:sz w:val="16"/>
                <w:szCs w:val="16"/>
                <w:b w:val="1"/>
                <w:bCs w:val="1"/>
                <w:color w:val="FFFFFF"/>
              </w:rPr>
              <w:t>Class I Directors</w:t>
            </w:r>
          </w:p>
        </w:tc>
        <w:tc>
          <w:tcPr>
            <w:tcW w:w="320" w:type="dxa"/>
            <w:vAlign w:val="bottom"/>
          </w:tcPr>
          <w:p>
            <w:pPr>
              <w:spacing w:after="0"/>
              <w:rPr>
                <w:sz w:val="24"/>
                <w:szCs w:val="24"/>
                <w:color w:val="auto"/>
              </w:rPr>
            </w:pPr>
          </w:p>
        </w:tc>
        <w:tc>
          <w:tcPr>
            <w:tcW w:w="3300" w:type="dxa"/>
            <w:vAlign w:val="bottom"/>
            <w:shd w:val="clear" w:color="auto" w:fill="FF0C07"/>
          </w:tcPr>
          <w:p>
            <w:pPr>
              <w:jc w:val="center"/>
              <w:ind w:left="55"/>
              <w:spacing w:after="0"/>
              <w:rPr>
                <w:sz w:val="20"/>
                <w:szCs w:val="20"/>
                <w:color w:val="auto"/>
              </w:rPr>
            </w:pPr>
            <w:r>
              <w:rPr>
                <w:rFonts w:ascii="Arial" w:cs="Arial" w:eastAsia="Arial" w:hAnsi="Arial"/>
                <w:sz w:val="16"/>
                <w:szCs w:val="16"/>
                <w:b w:val="1"/>
                <w:bCs w:val="1"/>
                <w:color w:val="FFFFFF"/>
              </w:rPr>
              <w:t>Class II Directors</w:t>
            </w:r>
          </w:p>
        </w:tc>
        <w:tc>
          <w:tcPr>
            <w:tcW w:w="340" w:type="dxa"/>
            <w:vAlign w:val="bottom"/>
          </w:tcPr>
          <w:p>
            <w:pPr>
              <w:spacing w:after="0"/>
              <w:rPr>
                <w:sz w:val="24"/>
                <w:szCs w:val="24"/>
                <w:color w:val="auto"/>
              </w:rPr>
            </w:pPr>
          </w:p>
        </w:tc>
        <w:tc>
          <w:tcPr>
            <w:tcW w:w="3320" w:type="dxa"/>
            <w:vAlign w:val="bottom"/>
            <w:shd w:val="clear" w:color="auto" w:fill="FF0C07"/>
          </w:tcPr>
          <w:p>
            <w:pPr>
              <w:jc w:val="center"/>
              <w:ind w:left="35"/>
              <w:spacing w:after="0"/>
              <w:rPr>
                <w:sz w:val="20"/>
                <w:szCs w:val="20"/>
                <w:color w:val="auto"/>
              </w:rPr>
            </w:pPr>
            <w:r>
              <w:rPr>
                <w:rFonts w:ascii="Arial" w:cs="Arial" w:eastAsia="Arial" w:hAnsi="Arial"/>
                <w:sz w:val="16"/>
                <w:szCs w:val="16"/>
                <w:b w:val="1"/>
                <w:bCs w:val="1"/>
                <w:color w:val="FFFFFF"/>
              </w:rPr>
              <w:t>Class III Directors</w:t>
            </w:r>
          </w:p>
        </w:tc>
        <w:tc>
          <w:tcPr>
            <w:tcW w:w="0" w:type="dxa"/>
            <w:vAlign w:val="bottom"/>
          </w:tcPr>
          <w:p>
            <w:pPr>
              <w:spacing w:after="0"/>
              <w:rPr>
                <w:sz w:val="1"/>
                <w:szCs w:val="1"/>
                <w:color w:val="auto"/>
              </w:rPr>
            </w:pPr>
          </w:p>
        </w:tc>
      </w:tr>
      <w:tr>
        <w:trPr>
          <w:trHeight w:val="190"/>
        </w:trPr>
        <w:tc>
          <w:tcPr>
            <w:tcW w:w="3740" w:type="dxa"/>
            <w:vAlign w:val="bottom"/>
            <w:shd w:val="clear" w:color="auto" w:fill="FF0C07"/>
          </w:tcPr>
          <w:p>
            <w:pPr>
              <w:jc w:val="center"/>
              <w:spacing w:after="0"/>
              <w:rPr>
                <w:sz w:val="20"/>
                <w:szCs w:val="20"/>
                <w:color w:val="auto"/>
              </w:rPr>
            </w:pPr>
            <w:r>
              <w:rPr>
                <w:rFonts w:ascii="Arial" w:cs="Arial" w:eastAsia="Arial" w:hAnsi="Arial"/>
                <w:sz w:val="14"/>
                <w:szCs w:val="14"/>
                <w:color w:val="FFFFFF"/>
              </w:rPr>
              <w:t>(Term Expires at the 2025 Annual Meeting)</w:t>
            </w:r>
          </w:p>
        </w:tc>
        <w:tc>
          <w:tcPr>
            <w:tcW w:w="320" w:type="dxa"/>
            <w:vAlign w:val="bottom"/>
          </w:tcPr>
          <w:p>
            <w:pPr>
              <w:spacing w:after="0"/>
              <w:rPr>
                <w:sz w:val="16"/>
                <w:szCs w:val="16"/>
                <w:color w:val="auto"/>
              </w:rPr>
            </w:pPr>
          </w:p>
        </w:tc>
        <w:tc>
          <w:tcPr>
            <w:tcW w:w="3300" w:type="dxa"/>
            <w:vAlign w:val="bottom"/>
            <w:shd w:val="clear" w:color="auto" w:fill="FF0C07"/>
          </w:tcPr>
          <w:p>
            <w:pPr>
              <w:jc w:val="center"/>
              <w:ind w:left="35"/>
              <w:spacing w:after="0"/>
              <w:rPr>
                <w:sz w:val="20"/>
                <w:szCs w:val="20"/>
                <w:color w:val="auto"/>
              </w:rPr>
            </w:pPr>
            <w:r>
              <w:rPr>
                <w:rFonts w:ascii="Arial" w:cs="Arial" w:eastAsia="Arial" w:hAnsi="Arial"/>
                <w:sz w:val="14"/>
                <w:szCs w:val="14"/>
                <w:color w:val="FFFFFF"/>
              </w:rPr>
              <w:t>(Term Expires at the 2023 Annual Meeting)</w:t>
            </w:r>
          </w:p>
        </w:tc>
        <w:tc>
          <w:tcPr>
            <w:tcW w:w="340" w:type="dxa"/>
            <w:vAlign w:val="bottom"/>
          </w:tcPr>
          <w:p>
            <w:pPr>
              <w:spacing w:after="0"/>
              <w:rPr>
                <w:sz w:val="16"/>
                <w:szCs w:val="16"/>
                <w:color w:val="auto"/>
              </w:rPr>
            </w:pPr>
          </w:p>
        </w:tc>
        <w:tc>
          <w:tcPr>
            <w:tcW w:w="3320" w:type="dxa"/>
            <w:vAlign w:val="bottom"/>
            <w:shd w:val="clear" w:color="auto" w:fill="FF0C07"/>
          </w:tcPr>
          <w:p>
            <w:pPr>
              <w:jc w:val="center"/>
              <w:ind w:left="35"/>
              <w:spacing w:after="0"/>
              <w:rPr>
                <w:sz w:val="20"/>
                <w:szCs w:val="20"/>
                <w:color w:val="auto"/>
              </w:rPr>
            </w:pPr>
            <w:r>
              <w:rPr>
                <w:rFonts w:ascii="Arial" w:cs="Arial" w:eastAsia="Arial" w:hAnsi="Arial"/>
                <w:sz w:val="14"/>
                <w:szCs w:val="14"/>
                <w:color w:val="FFFFFF"/>
              </w:rPr>
              <w:t>(Term Expires at the 2024 Annual Meeting)</w:t>
            </w:r>
          </w:p>
        </w:tc>
        <w:tc>
          <w:tcPr>
            <w:tcW w:w="0" w:type="dxa"/>
            <w:vAlign w:val="bottom"/>
          </w:tcPr>
          <w:p>
            <w:pPr>
              <w:spacing w:after="0"/>
              <w:rPr>
                <w:sz w:val="1"/>
                <w:szCs w:val="1"/>
                <w:color w:val="auto"/>
              </w:rPr>
            </w:pPr>
          </w:p>
        </w:tc>
      </w:tr>
      <w:tr>
        <w:trPr>
          <w:trHeight w:val="75"/>
        </w:trPr>
        <w:tc>
          <w:tcPr>
            <w:tcW w:w="3740" w:type="dxa"/>
            <w:vAlign w:val="bottom"/>
            <w:shd w:val="clear" w:color="auto" w:fill="FF0C07"/>
          </w:tcPr>
          <w:p>
            <w:pPr>
              <w:spacing w:after="0"/>
              <w:rPr>
                <w:sz w:val="6"/>
                <w:szCs w:val="6"/>
                <w:color w:val="auto"/>
              </w:rPr>
            </w:pPr>
          </w:p>
        </w:tc>
        <w:tc>
          <w:tcPr>
            <w:tcW w:w="320" w:type="dxa"/>
            <w:vAlign w:val="bottom"/>
            <w:vMerge w:val="restart"/>
          </w:tcPr>
          <w:p>
            <w:pPr>
              <w:spacing w:after="0"/>
              <w:rPr>
                <w:sz w:val="6"/>
                <w:szCs w:val="6"/>
                <w:color w:val="auto"/>
              </w:rPr>
            </w:pPr>
          </w:p>
        </w:tc>
        <w:tc>
          <w:tcPr>
            <w:tcW w:w="3300" w:type="dxa"/>
            <w:vAlign w:val="bottom"/>
            <w:shd w:val="clear" w:color="auto" w:fill="FF0C07"/>
          </w:tcPr>
          <w:p>
            <w:pPr>
              <w:spacing w:after="0"/>
              <w:rPr>
                <w:sz w:val="6"/>
                <w:szCs w:val="6"/>
                <w:color w:val="auto"/>
              </w:rPr>
            </w:pPr>
          </w:p>
        </w:tc>
        <w:tc>
          <w:tcPr>
            <w:tcW w:w="340" w:type="dxa"/>
            <w:vAlign w:val="bottom"/>
            <w:vMerge w:val="restart"/>
          </w:tcPr>
          <w:p>
            <w:pPr>
              <w:spacing w:after="0"/>
              <w:rPr>
                <w:sz w:val="6"/>
                <w:szCs w:val="6"/>
                <w:color w:val="auto"/>
              </w:rPr>
            </w:pPr>
          </w:p>
        </w:tc>
        <w:tc>
          <w:tcPr>
            <w:tcW w:w="3320" w:type="dxa"/>
            <w:vAlign w:val="bottom"/>
            <w:shd w:val="clear" w:color="auto" w:fill="FF0C07"/>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740" w:type="dxa"/>
            <w:vAlign w:val="bottom"/>
          </w:tcPr>
          <w:p>
            <w:pPr>
              <w:jc w:val="center"/>
              <w:spacing w:after="0"/>
              <w:rPr>
                <w:sz w:val="20"/>
                <w:szCs w:val="20"/>
                <w:color w:val="auto"/>
              </w:rPr>
            </w:pPr>
            <w:r>
              <w:rPr>
                <w:rFonts w:ascii="Arial" w:cs="Arial" w:eastAsia="Arial" w:hAnsi="Arial"/>
                <w:sz w:val="18"/>
                <w:szCs w:val="18"/>
                <w:color w:val="auto"/>
                <w:w w:val="99"/>
              </w:rPr>
              <w:t>Kristi M. Rogers</w:t>
            </w:r>
          </w:p>
        </w:tc>
        <w:tc>
          <w:tcPr>
            <w:tcW w:w="320" w:type="dxa"/>
            <w:vAlign w:val="bottom"/>
            <w:vMerge w:val="continue"/>
          </w:tcPr>
          <w:p>
            <w:pPr>
              <w:spacing w:after="0"/>
              <w:rPr>
                <w:sz w:val="20"/>
                <w:szCs w:val="20"/>
                <w:color w:val="auto"/>
              </w:rPr>
            </w:pPr>
          </w:p>
        </w:tc>
        <w:tc>
          <w:tcPr>
            <w:tcW w:w="3300" w:type="dxa"/>
            <w:vAlign w:val="bottom"/>
          </w:tcPr>
          <w:p>
            <w:pPr>
              <w:jc w:val="center"/>
              <w:ind w:left="35"/>
              <w:spacing w:after="0"/>
              <w:rPr>
                <w:sz w:val="20"/>
                <w:szCs w:val="20"/>
                <w:color w:val="auto"/>
              </w:rPr>
            </w:pPr>
            <w:r>
              <w:rPr>
                <w:rFonts w:ascii="Arial" w:cs="Arial" w:eastAsia="Arial" w:hAnsi="Arial"/>
                <w:sz w:val="18"/>
                <w:szCs w:val="18"/>
                <w:color w:val="auto"/>
                <w:w w:val="99"/>
              </w:rPr>
              <w:t>General Peter Pace</w:t>
            </w:r>
          </w:p>
        </w:tc>
        <w:tc>
          <w:tcPr>
            <w:tcW w:w="340" w:type="dxa"/>
            <w:vAlign w:val="bottom"/>
            <w:vMerge w:val="continue"/>
          </w:tcPr>
          <w:p>
            <w:pPr>
              <w:spacing w:after="0"/>
              <w:rPr>
                <w:sz w:val="20"/>
                <w:szCs w:val="20"/>
                <w:color w:val="auto"/>
              </w:rPr>
            </w:pPr>
          </w:p>
        </w:tc>
        <w:tc>
          <w:tcPr>
            <w:tcW w:w="3320" w:type="dxa"/>
            <w:vAlign w:val="bottom"/>
          </w:tcPr>
          <w:p>
            <w:pPr>
              <w:jc w:val="center"/>
              <w:ind w:left="35"/>
              <w:spacing w:after="0"/>
              <w:rPr>
                <w:sz w:val="20"/>
                <w:szCs w:val="20"/>
                <w:color w:val="auto"/>
              </w:rPr>
            </w:pPr>
            <w:r>
              <w:rPr>
                <w:rFonts w:ascii="Arial" w:cs="Arial" w:eastAsia="Arial" w:hAnsi="Arial"/>
                <w:sz w:val="18"/>
                <w:szCs w:val="18"/>
                <w:color w:val="auto"/>
              </w:rPr>
              <w:t>William Berutti</w:t>
            </w:r>
          </w:p>
        </w:tc>
        <w:tc>
          <w:tcPr>
            <w:tcW w:w="0" w:type="dxa"/>
            <w:vAlign w:val="bottom"/>
          </w:tcPr>
          <w:p>
            <w:pPr>
              <w:spacing w:after="0"/>
              <w:rPr>
                <w:sz w:val="1"/>
                <w:szCs w:val="1"/>
                <w:color w:val="auto"/>
              </w:rPr>
            </w:pPr>
          </w:p>
        </w:tc>
      </w:tr>
      <w:tr>
        <w:trPr>
          <w:trHeight w:val="251"/>
        </w:trPr>
        <w:tc>
          <w:tcPr>
            <w:tcW w:w="3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00" w:type="dxa"/>
            <w:vAlign w:val="bottom"/>
          </w:tcPr>
          <w:p>
            <w:pPr>
              <w:jc w:val="center"/>
              <w:ind w:left="35"/>
              <w:spacing w:after="0"/>
              <w:rPr>
                <w:sz w:val="20"/>
                <w:szCs w:val="20"/>
                <w:color w:val="auto"/>
              </w:rPr>
            </w:pPr>
            <w:r>
              <w:rPr>
                <w:rFonts w:ascii="Arial" w:cs="Arial" w:eastAsia="Arial" w:hAnsi="Arial"/>
                <w:sz w:val="18"/>
                <w:szCs w:val="18"/>
                <w:color w:val="auto"/>
                <w:w w:val="99"/>
              </w:rPr>
              <w:t>Wendy M. Pfeiffer</w:t>
            </w:r>
          </w:p>
        </w:tc>
        <w:tc>
          <w:tcPr>
            <w:tcW w:w="340" w:type="dxa"/>
            <w:vAlign w:val="bottom"/>
          </w:tcPr>
          <w:p>
            <w:pPr>
              <w:spacing w:after="0"/>
              <w:rPr>
                <w:sz w:val="21"/>
                <w:szCs w:val="21"/>
                <w:color w:val="auto"/>
              </w:rPr>
            </w:pPr>
          </w:p>
        </w:tc>
        <w:tc>
          <w:tcPr>
            <w:tcW w:w="3320" w:type="dxa"/>
            <w:vAlign w:val="bottom"/>
          </w:tcPr>
          <w:p>
            <w:pPr>
              <w:jc w:val="center"/>
              <w:ind w:left="35"/>
              <w:spacing w:after="0"/>
              <w:rPr>
                <w:sz w:val="20"/>
                <w:szCs w:val="20"/>
                <w:color w:val="auto"/>
              </w:rPr>
            </w:pPr>
            <w:r>
              <w:rPr>
                <w:rFonts w:ascii="Arial" w:cs="Arial" w:eastAsia="Arial" w:hAnsi="Arial"/>
                <w:sz w:val="18"/>
                <w:szCs w:val="18"/>
                <w:color w:val="auto"/>
                <w:w w:val="97"/>
              </w:rPr>
              <w:t>Jeffrey P. Hank</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300" w:type="dxa"/>
            <w:vAlign w:val="bottom"/>
          </w:tcPr>
          <w:p>
            <w:pPr>
              <w:jc w:val="center"/>
              <w:ind w:left="35"/>
              <w:spacing w:after="0"/>
              <w:rPr>
                <w:sz w:val="20"/>
                <w:szCs w:val="20"/>
                <w:color w:val="auto"/>
              </w:rPr>
            </w:pPr>
            <w:r>
              <w:rPr>
                <w:rFonts w:ascii="Arial" w:cs="Arial" w:eastAsia="Arial" w:hAnsi="Arial"/>
                <w:sz w:val="18"/>
                <w:szCs w:val="18"/>
                <w:color w:val="auto"/>
                <w:w w:val="99"/>
              </w:rPr>
              <w:t>John Zangardi</w:t>
            </w:r>
          </w:p>
        </w:tc>
        <w:tc>
          <w:tcPr>
            <w:tcW w:w="340" w:type="dxa"/>
            <w:vAlign w:val="bottom"/>
          </w:tcPr>
          <w:p>
            <w:pPr>
              <w:spacing w:after="0"/>
              <w:rPr>
                <w:sz w:val="23"/>
                <w:szCs w:val="23"/>
                <w:color w:val="auto"/>
              </w:rPr>
            </w:pPr>
          </w:p>
        </w:tc>
        <w:tc>
          <w:tcPr>
            <w:tcW w:w="3320" w:type="dxa"/>
            <w:vAlign w:val="bottom"/>
          </w:tcPr>
          <w:p>
            <w:pPr>
              <w:jc w:val="center"/>
              <w:ind w:left="15"/>
              <w:spacing w:after="0"/>
              <w:rPr>
                <w:sz w:val="20"/>
                <w:szCs w:val="20"/>
                <w:color w:val="auto"/>
              </w:rPr>
            </w:pPr>
            <w:r>
              <w:rPr>
                <w:rFonts w:ascii="Arial" w:cs="Arial" w:eastAsia="Arial" w:hAnsi="Arial"/>
                <w:sz w:val="18"/>
                <w:szCs w:val="18"/>
                <w:color w:val="auto"/>
                <w:w w:val="99"/>
              </w:rPr>
              <w:t>Sumedh S. Thakar</w:t>
            </w:r>
          </w:p>
        </w:tc>
        <w:tc>
          <w:tcPr>
            <w:tcW w:w="0" w:type="dxa"/>
            <w:vAlign w:val="bottom"/>
          </w:tcPr>
          <w:p>
            <w:pPr>
              <w:spacing w:after="0"/>
              <w:rPr>
                <w:sz w:val="1"/>
                <w:szCs w:val="1"/>
                <w:color w:val="auto"/>
              </w:rPr>
            </w:pPr>
          </w:p>
        </w:tc>
      </w:tr>
      <w:tr>
        <w:trPr>
          <w:trHeight w:val="351"/>
        </w:trPr>
        <w:tc>
          <w:tcPr>
            <w:tcW w:w="3740" w:type="dxa"/>
            <w:vAlign w:val="bottom"/>
          </w:tcPr>
          <w:p>
            <w:pPr>
              <w:spacing w:after="0"/>
              <w:rPr>
                <w:sz w:val="24"/>
                <w:szCs w:val="24"/>
                <w:color w:val="auto"/>
              </w:rPr>
            </w:pPr>
          </w:p>
        </w:tc>
        <w:tc>
          <w:tcPr>
            <w:tcW w:w="3620" w:type="dxa"/>
            <w:vAlign w:val="bottom"/>
            <w:gridSpan w:val="2"/>
          </w:tcPr>
          <w:p>
            <w:pPr>
              <w:jc w:val="right"/>
              <w:ind w:right="1715"/>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6" w:right="439" w:bottom="1440" w:gutter="0" w:footer="0" w:header="0"/>
        </w:sectPr>
      </w:pPr>
    </w:p>
    <w:bookmarkStart w:id="10" w:name="page11"/>
    <w:bookmarkEnd w:id="10"/>
    <w:p>
      <w:pPr>
        <w:ind w:right="640" w:firstLine="4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sets forth the names, ages as of April 20, 2023, and certain other information for each of the nominees for election as a director, for each of the continuing members of our board of directors, and for our retiring member.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shd w:val="clear" w:color="auto" w:fill="FF0C07"/>
          </w:tcPr>
          <w:p>
            <w:pPr>
              <w:spacing w:after="0"/>
              <w:rPr>
                <w:sz w:val="14"/>
                <w:szCs w:val="14"/>
                <w:color w:val="auto"/>
              </w:rPr>
            </w:pPr>
          </w:p>
        </w:tc>
        <w:tc>
          <w:tcPr>
            <w:tcW w:w="340" w:type="dxa"/>
            <w:vAlign w:val="bottom"/>
            <w:shd w:val="clear" w:color="auto" w:fill="FF0C07"/>
          </w:tcPr>
          <w:p>
            <w:pPr>
              <w:spacing w:after="0"/>
              <w:rPr>
                <w:sz w:val="14"/>
                <w:szCs w:val="14"/>
                <w:color w:val="auto"/>
              </w:rPr>
            </w:pPr>
          </w:p>
        </w:tc>
        <w:tc>
          <w:tcPr>
            <w:tcW w:w="920" w:type="dxa"/>
            <w:vAlign w:val="bottom"/>
            <w:shd w:val="clear" w:color="auto" w:fill="FF0C07"/>
          </w:tcPr>
          <w:p>
            <w:pPr>
              <w:spacing w:after="0"/>
              <w:rPr>
                <w:sz w:val="14"/>
                <w:szCs w:val="14"/>
                <w:color w:val="auto"/>
              </w:rPr>
            </w:pPr>
          </w:p>
        </w:tc>
        <w:tc>
          <w:tcPr>
            <w:tcW w:w="940" w:type="dxa"/>
            <w:vAlign w:val="bottom"/>
            <w:shd w:val="clear" w:color="auto" w:fill="FF0C07"/>
          </w:tcPr>
          <w:p>
            <w:pPr>
              <w:spacing w:after="0"/>
              <w:rPr>
                <w:sz w:val="14"/>
                <w:szCs w:val="14"/>
                <w:color w:val="auto"/>
              </w:rPr>
            </w:pPr>
          </w:p>
        </w:tc>
        <w:tc>
          <w:tcPr>
            <w:tcW w:w="340" w:type="dxa"/>
            <w:vAlign w:val="bottom"/>
            <w:shd w:val="clear" w:color="auto" w:fill="FF0C07"/>
          </w:tcPr>
          <w:p>
            <w:pPr>
              <w:spacing w:after="0"/>
              <w:rPr>
                <w:sz w:val="14"/>
                <w:szCs w:val="14"/>
                <w:color w:val="auto"/>
              </w:rPr>
            </w:pPr>
          </w:p>
        </w:tc>
        <w:tc>
          <w:tcPr>
            <w:tcW w:w="640" w:type="dxa"/>
            <w:vAlign w:val="bottom"/>
            <w:shd w:val="clear" w:color="auto" w:fill="FF0C07"/>
          </w:tcPr>
          <w:p>
            <w:pPr>
              <w:spacing w:after="0"/>
              <w:rPr>
                <w:sz w:val="14"/>
                <w:szCs w:val="14"/>
                <w:color w:val="auto"/>
              </w:rPr>
            </w:pPr>
          </w:p>
        </w:tc>
        <w:tc>
          <w:tcPr>
            <w:tcW w:w="1120" w:type="dxa"/>
            <w:vAlign w:val="bottom"/>
            <w:shd w:val="clear" w:color="auto" w:fill="FF0C07"/>
          </w:tcPr>
          <w:p>
            <w:pPr>
              <w:jc w:val="right"/>
              <w:ind w:right="135"/>
              <w:spacing w:after="0"/>
              <w:rPr>
                <w:sz w:val="20"/>
                <w:szCs w:val="20"/>
                <w:color w:val="auto"/>
              </w:rPr>
            </w:pPr>
            <w:r>
              <w:rPr>
                <w:rFonts w:ascii="Arial" w:cs="Arial" w:eastAsia="Arial" w:hAnsi="Arial"/>
                <w:sz w:val="14"/>
                <w:szCs w:val="14"/>
                <w:b w:val="1"/>
                <w:bCs w:val="1"/>
                <w:color w:val="FFFFFF"/>
              </w:rPr>
              <w:t>Other</w:t>
            </w:r>
          </w:p>
        </w:tc>
        <w:tc>
          <w:tcPr>
            <w:tcW w:w="340" w:type="dxa"/>
            <w:vAlign w:val="bottom"/>
            <w:shd w:val="clear" w:color="auto" w:fill="FF0C07"/>
          </w:tcPr>
          <w:p>
            <w:pPr>
              <w:spacing w:after="0"/>
              <w:rPr>
                <w:sz w:val="14"/>
                <w:szCs w:val="14"/>
                <w:color w:val="auto"/>
              </w:rPr>
            </w:pPr>
          </w:p>
        </w:tc>
        <w:tc>
          <w:tcPr>
            <w:tcW w:w="94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Audit</w:t>
            </w:r>
          </w:p>
        </w:tc>
        <w:tc>
          <w:tcPr>
            <w:tcW w:w="1360" w:type="dxa"/>
            <w:vAlign w:val="bottom"/>
            <w:shd w:val="clear" w:color="auto" w:fill="FF0C07"/>
          </w:tcPr>
          <w:p>
            <w:pPr>
              <w:jc w:val="center"/>
              <w:ind w:left="284"/>
              <w:spacing w:after="0"/>
              <w:rPr>
                <w:sz w:val="20"/>
                <w:szCs w:val="20"/>
                <w:color w:val="auto"/>
              </w:rPr>
            </w:pPr>
            <w:r>
              <w:rPr>
                <w:rFonts w:ascii="Arial" w:cs="Arial" w:eastAsia="Arial" w:hAnsi="Arial"/>
                <w:sz w:val="14"/>
                <w:szCs w:val="14"/>
                <w:b w:val="1"/>
                <w:bCs w:val="1"/>
                <w:color w:val="FFFFFF"/>
              </w:rPr>
              <w:t>Compensation</w:t>
            </w:r>
          </w:p>
        </w:tc>
        <w:tc>
          <w:tcPr>
            <w:tcW w:w="980" w:type="dxa"/>
            <w:vAlign w:val="bottom"/>
            <w:shd w:val="clear" w:color="auto" w:fill="FF0C07"/>
          </w:tcPr>
          <w:p>
            <w:pPr>
              <w:jc w:val="center"/>
              <w:ind w:left="84"/>
              <w:spacing w:after="0"/>
              <w:rPr>
                <w:sz w:val="20"/>
                <w:szCs w:val="20"/>
                <w:color w:val="auto"/>
              </w:rPr>
            </w:pPr>
            <w:r>
              <w:rPr>
                <w:rFonts w:ascii="Arial" w:cs="Arial" w:eastAsia="Arial" w:hAnsi="Arial"/>
                <w:sz w:val="14"/>
                <w:szCs w:val="14"/>
                <w:b w:val="1"/>
                <w:bCs w:val="1"/>
                <w:color w:val="FFFFFF"/>
              </w:rPr>
              <w:t>Nominating</w:t>
            </w:r>
          </w:p>
        </w:tc>
        <w:tc>
          <w:tcPr>
            <w:tcW w:w="0" w:type="dxa"/>
            <w:vAlign w:val="bottom"/>
          </w:tcPr>
          <w:p>
            <w:pPr>
              <w:spacing w:after="0"/>
              <w:rPr>
                <w:sz w:val="1"/>
                <w:szCs w:val="1"/>
                <w:color w:val="auto"/>
              </w:rPr>
            </w:pPr>
          </w:p>
        </w:tc>
      </w:tr>
      <w:tr>
        <w:trPr>
          <w:trHeight w:val="162"/>
        </w:trPr>
        <w:tc>
          <w:tcPr>
            <w:tcW w:w="3100" w:type="dxa"/>
            <w:vAlign w:val="bottom"/>
            <w:shd w:val="clear" w:color="auto" w:fill="FF0C07"/>
          </w:tcPr>
          <w:p>
            <w:pPr>
              <w:spacing w:after="0"/>
              <w:rPr>
                <w:sz w:val="14"/>
                <w:szCs w:val="14"/>
                <w:color w:val="auto"/>
              </w:rPr>
            </w:pPr>
          </w:p>
        </w:tc>
        <w:tc>
          <w:tcPr>
            <w:tcW w:w="340" w:type="dxa"/>
            <w:vAlign w:val="bottom"/>
            <w:shd w:val="clear" w:color="auto" w:fill="FF0C07"/>
          </w:tcPr>
          <w:p>
            <w:pPr>
              <w:spacing w:after="0"/>
              <w:rPr>
                <w:sz w:val="14"/>
                <w:szCs w:val="14"/>
                <w:color w:val="auto"/>
              </w:rPr>
            </w:pPr>
          </w:p>
        </w:tc>
        <w:tc>
          <w:tcPr>
            <w:tcW w:w="920" w:type="dxa"/>
            <w:vAlign w:val="bottom"/>
            <w:shd w:val="clear" w:color="auto" w:fill="FF0C07"/>
          </w:tcPr>
          <w:p>
            <w:pPr>
              <w:spacing w:after="0"/>
              <w:rPr>
                <w:sz w:val="14"/>
                <w:szCs w:val="14"/>
                <w:color w:val="auto"/>
              </w:rPr>
            </w:pPr>
          </w:p>
        </w:tc>
        <w:tc>
          <w:tcPr>
            <w:tcW w:w="940" w:type="dxa"/>
            <w:vAlign w:val="bottom"/>
            <w:shd w:val="clear" w:color="auto" w:fill="FF0C07"/>
          </w:tcPr>
          <w:p>
            <w:pPr>
              <w:jc w:val="right"/>
              <w:spacing w:after="0"/>
              <w:rPr>
                <w:sz w:val="20"/>
                <w:szCs w:val="20"/>
                <w:color w:val="auto"/>
              </w:rPr>
            </w:pPr>
            <w:r>
              <w:rPr>
                <w:rFonts w:ascii="Arial" w:cs="Arial" w:eastAsia="Arial" w:hAnsi="Arial"/>
                <w:sz w:val="14"/>
                <w:szCs w:val="14"/>
                <w:b w:val="1"/>
                <w:bCs w:val="1"/>
                <w:color w:val="FFFFFF"/>
              </w:rPr>
              <w:t>Director</w:t>
            </w:r>
          </w:p>
        </w:tc>
        <w:tc>
          <w:tcPr>
            <w:tcW w:w="340" w:type="dxa"/>
            <w:vAlign w:val="bottom"/>
            <w:shd w:val="clear" w:color="auto" w:fill="FF0C07"/>
          </w:tcPr>
          <w:p>
            <w:pPr>
              <w:spacing w:after="0"/>
              <w:rPr>
                <w:sz w:val="14"/>
                <w:szCs w:val="14"/>
                <w:color w:val="auto"/>
              </w:rPr>
            </w:pPr>
          </w:p>
        </w:tc>
        <w:tc>
          <w:tcPr>
            <w:tcW w:w="640" w:type="dxa"/>
            <w:vAlign w:val="bottom"/>
            <w:shd w:val="clear" w:color="auto" w:fill="FF0C07"/>
          </w:tcPr>
          <w:p>
            <w:pPr>
              <w:spacing w:after="0"/>
              <w:rPr>
                <w:sz w:val="14"/>
                <w:szCs w:val="14"/>
                <w:color w:val="auto"/>
              </w:rPr>
            </w:pPr>
          </w:p>
        </w:tc>
        <w:tc>
          <w:tcPr>
            <w:tcW w:w="1120" w:type="dxa"/>
            <w:vAlign w:val="bottom"/>
            <w:shd w:val="clear" w:color="auto" w:fill="FF0C07"/>
          </w:tcPr>
          <w:p>
            <w:pPr>
              <w:jc w:val="right"/>
              <w:spacing w:after="0"/>
              <w:rPr>
                <w:sz w:val="20"/>
                <w:szCs w:val="20"/>
                <w:color w:val="auto"/>
              </w:rPr>
            </w:pPr>
            <w:r>
              <w:rPr>
                <w:rFonts w:ascii="Arial" w:cs="Arial" w:eastAsia="Arial" w:hAnsi="Arial"/>
                <w:sz w:val="14"/>
                <w:szCs w:val="14"/>
                <w:b w:val="1"/>
                <w:bCs w:val="1"/>
                <w:color w:val="FFFFFF"/>
              </w:rPr>
              <w:t>Public Co.</w:t>
            </w:r>
          </w:p>
        </w:tc>
        <w:tc>
          <w:tcPr>
            <w:tcW w:w="340" w:type="dxa"/>
            <w:vAlign w:val="bottom"/>
            <w:shd w:val="clear" w:color="auto" w:fill="FF0C07"/>
          </w:tcPr>
          <w:p>
            <w:pPr>
              <w:spacing w:after="0"/>
              <w:rPr>
                <w:sz w:val="14"/>
                <w:szCs w:val="14"/>
                <w:color w:val="auto"/>
              </w:rPr>
            </w:pPr>
          </w:p>
        </w:tc>
        <w:tc>
          <w:tcPr>
            <w:tcW w:w="94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&amp; Risk</w:t>
            </w:r>
          </w:p>
        </w:tc>
        <w:tc>
          <w:tcPr>
            <w:tcW w:w="1360" w:type="dxa"/>
            <w:vAlign w:val="bottom"/>
            <w:shd w:val="clear" w:color="auto" w:fill="FF0C07"/>
          </w:tcPr>
          <w:p>
            <w:pPr>
              <w:jc w:val="center"/>
              <w:ind w:left="284"/>
              <w:spacing w:after="0"/>
              <w:rPr>
                <w:sz w:val="20"/>
                <w:szCs w:val="20"/>
                <w:color w:val="auto"/>
              </w:rPr>
            </w:pPr>
            <w:r>
              <w:rPr>
                <w:rFonts w:ascii="Arial" w:cs="Arial" w:eastAsia="Arial" w:hAnsi="Arial"/>
                <w:sz w:val="14"/>
                <w:szCs w:val="14"/>
                <w:b w:val="1"/>
                <w:bCs w:val="1"/>
                <w:color w:val="FFFFFF"/>
              </w:rPr>
              <w:t>&amp; Talent</w:t>
            </w:r>
          </w:p>
        </w:tc>
        <w:tc>
          <w:tcPr>
            <w:tcW w:w="980" w:type="dxa"/>
            <w:vAlign w:val="bottom"/>
            <w:shd w:val="clear" w:color="auto" w:fill="FF0C07"/>
          </w:tcPr>
          <w:p>
            <w:pPr>
              <w:jc w:val="center"/>
              <w:ind w:left="104"/>
              <w:spacing w:after="0"/>
              <w:rPr>
                <w:sz w:val="20"/>
                <w:szCs w:val="20"/>
                <w:color w:val="auto"/>
              </w:rPr>
            </w:pPr>
            <w:r>
              <w:rPr>
                <w:rFonts w:ascii="Arial" w:cs="Arial" w:eastAsia="Arial" w:hAnsi="Arial"/>
                <w:sz w:val="14"/>
                <w:szCs w:val="14"/>
                <w:b w:val="1"/>
                <w:bCs w:val="1"/>
                <w:color w:val="FFFFFF"/>
              </w:rPr>
              <w:t>&amp; ESG</w:t>
            </w:r>
          </w:p>
        </w:tc>
        <w:tc>
          <w:tcPr>
            <w:tcW w:w="0" w:type="dxa"/>
            <w:vAlign w:val="bottom"/>
          </w:tcPr>
          <w:p>
            <w:pPr>
              <w:spacing w:after="0"/>
              <w:rPr>
                <w:sz w:val="1"/>
                <w:szCs w:val="1"/>
                <w:color w:val="auto"/>
              </w:rPr>
            </w:pPr>
          </w:p>
        </w:tc>
      </w:tr>
      <w:tr>
        <w:trPr>
          <w:trHeight w:val="196"/>
        </w:trPr>
        <w:tc>
          <w:tcPr>
            <w:tcW w:w="3100" w:type="dxa"/>
            <w:vAlign w:val="bottom"/>
            <w:shd w:val="clear" w:color="auto" w:fill="FF0C07"/>
          </w:tcPr>
          <w:p>
            <w:pPr>
              <w:spacing w:after="0"/>
              <w:rPr>
                <w:sz w:val="20"/>
                <w:szCs w:val="20"/>
                <w:color w:val="auto"/>
              </w:rPr>
            </w:pPr>
            <w:r>
              <w:rPr>
                <w:rFonts w:ascii="Arial" w:cs="Arial" w:eastAsia="Arial" w:hAnsi="Arial"/>
                <w:sz w:val="14"/>
                <w:szCs w:val="14"/>
                <w:b w:val="1"/>
                <w:bCs w:val="1"/>
                <w:color w:val="FFFFFF"/>
              </w:rPr>
              <w:t>Name</w:t>
            </w:r>
          </w:p>
        </w:tc>
        <w:tc>
          <w:tcPr>
            <w:tcW w:w="340" w:type="dxa"/>
            <w:vAlign w:val="bottom"/>
            <w:shd w:val="clear" w:color="auto" w:fill="FF0C07"/>
          </w:tcPr>
          <w:p>
            <w:pPr>
              <w:spacing w:after="0"/>
              <w:rPr>
                <w:sz w:val="17"/>
                <w:szCs w:val="17"/>
                <w:color w:val="auto"/>
              </w:rPr>
            </w:pPr>
          </w:p>
        </w:tc>
        <w:tc>
          <w:tcPr>
            <w:tcW w:w="920" w:type="dxa"/>
            <w:vAlign w:val="bottom"/>
            <w:shd w:val="clear" w:color="auto" w:fill="FF0C07"/>
          </w:tcPr>
          <w:p>
            <w:pPr>
              <w:spacing w:after="0"/>
              <w:rPr>
                <w:sz w:val="20"/>
                <w:szCs w:val="20"/>
                <w:color w:val="auto"/>
              </w:rPr>
            </w:pPr>
            <w:r>
              <w:rPr>
                <w:rFonts w:ascii="Arial" w:cs="Arial" w:eastAsia="Arial" w:hAnsi="Arial"/>
                <w:sz w:val="14"/>
                <w:szCs w:val="14"/>
                <w:b w:val="1"/>
                <w:bCs w:val="1"/>
                <w:color w:val="FFFFFF"/>
              </w:rPr>
              <w:t>Independent</w:t>
            </w:r>
          </w:p>
        </w:tc>
        <w:tc>
          <w:tcPr>
            <w:tcW w:w="940" w:type="dxa"/>
            <w:vAlign w:val="bottom"/>
            <w:shd w:val="clear" w:color="auto" w:fill="FF0C07"/>
          </w:tcPr>
          <w:p>
            <w:pPr>
              <w:jc w:val="right"/>
              <w:ind w:right="54"/>
              <w:spacing w:after="0"/>
              <w:rPr>
                <w:sz w:val="20"/>
                <w:szCs w:val="20"/>
                <w:color w:val="auto"/>
              </w:rPr>
            </w:pPr>
            <w:r>
              <w:rPr>
                <w:rFonts w:ascii="Arial" w:cs="Arial" w:eastAsia="Arial" w:hAnsi="Arial"/>
                <w:sz w:val="14"/>
                <w:szCs w:val="14"/>
                <w:b w:val="1"/>
                <w:bCs w:val="1"/>
                <w:color w:val="FFFFFF"/>
              </w:rPr>
              <w:t>Since</w:t>
            </w:r>
          </w:p>
        </w:tc>
        <w:tc>
          <w:tcPr>
            <w:tcW w:w="340" w:type="dxa"/>
            <w:vAlign w:val="bottom"/>
            <w:shd w:val="clear" w:color="auto" w:fill="FF0C07"/>
          </w:tcPr>
          <w:p>
            <w:pPr>
              <w:spacing w:after="0"/>
              <w:rPr>
                <w:sz w:val="17"/>
                <w:szCs w:val="17"/>
                <w:color w:val="auto"/>
              </w:rPr>
            </w:pPr>
          </w:p>
        </w:tc>
        <w:tc>
          <w:tcPr>
            <w:tcW w:w="640" w:type="dxa"/>
            <w:vAlign w:val="bottom"/>
            <w:shd w:val="clear" w:color="auto" w:fill="FF0C07"/>
          </w:tcPr>
          <w:p>
            <w:pPr>
              <w:jc w:val="right"/>
              <w:ind w:right="136"/>
              <w:spacing w:after="0"/>
              <w:rPr>
                <w:sz w:val="20"/>
                <w:szCs w:val="20"/>
                <w:color w:val="auto"/>
              </w:rPr>
            </w:pPr>
            <w:r>
              <w:rPr>
                <w:rFonts w:ascii="Arial" w:cs="Arial" w:eastAsia="Arial" w:hAnsi="Arial"/>
                <w:sz w:val="14"/>
                <w:szCs w:val="14"/>
                <w:b w:val="1"/>
                <w:bCs w:val="1"/>
                <w:color w:val="FFFFFF"/>
              </w:rPr>
              <w:t>Age</w:t>
            </w:r>
          </w:p>
        </w:tc>
        <w:tc>
          <w:tcPr>
            <w:tcW w:w="1120" w:type="dxa"/>
            <w:vAlign w:val="bottom"/>
            <w:shd w:val="clear" w:color="auto" w:fill="FF0C07"/>
          </w:tcPr>
          <w:p>
            <w:pPr>
              <w:jc w:val="right"/>
              <w:ind w:right="75"/>
              <w:spacing w:after="0"/>
              <w:rPr>
                <w:sz w:val="20"/>
                <w:szCs w:val="20"/>
                <w:color w:val="auto"/>
              </w:rPr>
            </w:pPr>
            <w:r>
              <w:rPr>
                <w:rFonts w:ascii="Arial" w:cs="Arial" w:eastAsia="Arial" w:hAnsi="Arial"/>
                <w:sz w:val="14"/>
                <w:szCs w:val="14"/>
                <w:b w:val="1"/>
                <w:bCs w:val="1"/>
                <w:color w:val="FFFFFF"/>
              </w:rPr>
              <w:t>Boards</w:t>
            </w:r>
          </w:p>
        </w:tc>
        <w:tc>
          <w:tcPr>
            <w:tcW w:w="340" w:type="dxa"/>
            <w:vAlign w:val="bottom"/>
            <w:shd w:val="clear" w:color="auto" w:fill="FF0C07"/>
          </w:tcPr>
          <w:p>
            <w:pPr>
              <w:spacing w:after="0"/>
              <w:rPr>
                <w:sz w:val="17"/>
                <w:szCs w:val="17"/>
                <w:color w:val="auto"/>
              </w:rPr>
            </w:pPr>
          </w:p>
        </w:tc>
        <w:tc>
          <w:tcPr>
            <w:tcW w:w="94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Committee</w:t>
            </w:r>
          </w:p>
        </w:tc>
        <w:tc>
          <w:tcPr>
            <w:tcW w:w="1360" w:type="dxa"/>
            <w:vAlign w:val="bottom"/>
            <w:shd w:val="clear" w:color="auto" w:fill="FF0C07"/>
          </w:tcPr>
          <w:p>
            <w:pPr>
              <w:jc w:val="center"/>
              <w:ind w:left="264"/>
              <w:spacing w:after="0"/>
              <w:rPr>
                <w:sz w:val="20"/>
                <w:szCs w:val="20"/>
                <w:color w:val="auto"/>
              </w:rPr>
            </w:pPr>
            <w:r>
              <w:rPr>
                <w:rFonts w:ascii="Arial" w:cs="Arial" w:eastAsia="Arial" w:hAnsi="Arial"/>
                <w:sz w:val="14"/>
                <w:szCs w:val="14"/>
                <w:b w:val="1"/>
                <w:bCs w:val="1"/>
                <w:color w:val="FFFFFF"/>
              </w:rPr>
              <w:t>Committee</w:t>
            </w:r>
          </w:p>
        </w:tc>
        <w:tc>
          <w:tcPr>
            <w:tcW w:w="980" w:type="dxa"/>
            <w:vAlign w:val="bottom"/>
            <w:shd w:val="clear" w:color="auto" w:fill="FF0C07"/>
          </w:tcPr>
          <w:p>
            <w:pPr>
              <w:jc w:val="center"/>
              <w:ind w:left="84"/>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70"/>
        </w:trPr>
        <w:tc>
          <w:tcPr>
            <w:tcW w:w="3100" w:type="dxa"/>
            <w:vAlign w:val="bottom"/>
            <w:shd w:val="clear" w:color="auto" w:fill="FF0C07"/>
          </w:tcPr>
          <w:p>
            <w:pPr>
              <w:spacing w:after="0"/>
              <w:rPr>
                <w:sz w:val="6"/>
                <w:szCs w:val="6"/>
                <w:color w:val="auto"/>
              </w:rPr>
            </w:pPr>
          </w:p>
        </w:tc>
        <w:tc>
          <w:tcPr>
            <w:tcW w:w="340" w:type="dxa"/>
            <w:vAlign w:val="bottom"/>
            <w:shd w:val="clear" w:color="auto" w:fill="FF0C07"/>
          </w:tcPr>
          <w:p>
            <w:pPr>
              <w:spacing w:after="0"/>
              <w:rPr>
                <w:sz w:val="6"/>
                <w:szCs w:val="6"/>
                <w:color w:val="auto"/>
              </w:rPr>
            </w:pPr>
          </w:p>
        </w:tc>
        <w:tc>
          <w:tcPr>
            <w:tcW w:w="920" w:type="dxa"/>
            <w:vAlign w:val="bottom"/>
            <w:shd w:val="clear" w:color="auto" w:fill="FF0C07"/>
          </w:tcPr>
          <w:p>
            <w:pPr>
              <w:spacing w:after="0"/>
              <w:rPr>
                <w:sz w:val="6"/>
                <w:szCs w:val="6"/>
                <w:color w:val="auto"/>
              </w:rPr>
            </w:pPr>
          </w:p>
        </w:tc>
        <w:tc>
          <w:tcPr>
            <w:tcW w:w="940" w:type="dxa"/>
            <w:vAlign w:val="bottom"/>
            <w:shd w:val="clear" w:color="auto" w:fill="FF0C07"/>
          </w:tcPr>
          <w:p>
            <w:pPr>
              <w:spacing w:after="0"/>
              <w:rPr>
                <w:sz w:val="6"/>
                <w:szCs w:val="6"/>
                <w:color w:val="auto"/>
              </w:rPr>
            </w:pPr>
          </w:p>
        </w:tc>
        <w:tc>
          <w:tcPr>
            <w:tcW w:w="340" w:type="dxa"/>
            <w:vAlign w:val="bottom"/>
            <w:shd w:val="clear" w:color="auto" w:fill="FF0C07"/>
          </w:tcPr>
          <w:p>
            <w:pPr>
              <w:spacing w:after="0"/>
              <w:rPr>
                <w:sz w:val="6"/>
                <w:szCs w:val="6"/>
                <w:color w:val="auto"/>
              </w:rPr>
            </w:pPr>
          </w:p>
        </w:tc>
        <w:tc>
          <w:tcPr>
            <w:tcW w:w="640" w:type="dxa"/>
            <w:vAlign w:val="bottom"/>
            <w:shd w:val="clear" w:color="auto" w:fill="FF0C07"/>
          </w:tcPr>
          <w:p>
            <w:pPr>
              <w:spacing w:after="0"/>
              <w:rPr>
                <w:sz w:val="6"/>
                <w:szCs w:val="6"/>
                <w:color w:val="auto"/>
              </w:rPr>
            </w:pPr>
          </w:p>
        </w:tc>
        <w:tc>
          <w:tcPr>
            <w:tcW w:w="1120" w:type="dxa"/>
            <w:vAlign w:val="bottom"/>
            <w:shd w:val="clear" w:color="auto" w:fill="FF0C07"/>
          </w:tcPr>
          <w:p>
            <w:pPr>
              <w:spacing w:after="0"/>
              <w:rPr>
                <w:sz w:val="6"/>
                <w:szCs w:val="6"/>
                <w:color w:val="auto"/>
              </w:rPr>
            </w:pPr>
          </w:p>
        </w:tc>
        <w:tc>
          <w:tcPr>
            <w:tcW w:w="340" w:type="dxa"/>
            <w:vAlign w:val="bottom"/>
            <w:shd w:val="clear" w:color="auto" w:fill="FF0C07"/>
          </w:tcPr>
          <w:p>
            <w:pPr>
              <w:spacing w:after="0"/>
              <w:rPr>
                <w:sz w:val="6"/>
                <w:szCs w:val="6"/>
                <w:color w:val="auto"/>
              </w:rPr>
            </w:pPr>
          </w:p>
        </w:tc>
        <w:tc>
          <w:tcPr>
            <w:tcW w:w="940" w:type="dxa"/>
            <w:vAlign w:val="bottom"/>
            <w:shd w:val="clear" w:color="auto" w:fill="FF0C07"/>
          </w:tcPr>
          <w:p>
            <w:pPr>
              <w:spacing w:after="0"/>
              <w:rPr>
                <w:sz w:val="6"/>
                <w:szCs w:val="6"/>
                <w:color w:val="auto"/>
              </w:rPr>
            </w:pPr>
          </w:p>
        </w:tc>
        <w:tc>
          <w:tcPr>
            <w:tcW w:w="1360" w:type="dxa"/>
            <w:vAlign w:val="bottom"/>
            <w:shd w:val="clear" w:color="auto" w:fill="FF0C07"/>
          </w:tcPr>
          <w:p>
            <w:pPr>
              <w:spacing w:after="0"/>
              <w:rPr>
                <w:sz w:val="6"/>
                <w:szCs w:val="6"/>
                <w:color w:val="auto"/>
              </w:rPr>
            </w:pPr>
          </w:p>
        </w:tc>
        <w:tc>
          <w:tcPr>
            <w:tcW w:w="980" w:type="dxa"/>
            <w:vAlign w:val="bottom"/>
            <w:shd w:val="clear" w:color="auto" w:fill="FF0C07"/>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3100" w:type="dxa"/>
            <w:vAlign w:val="bottom"/>
          </w:tcPr>
          <w:p>
            <w:pPr>
              <w:spacing w:after="0"/>
              <w:rPr>
                <w:sz w:val="20"/>
                <w:szCs w:val="20"/>
                <w:color w:val="auto"/>
              </w:rPr>
            </w:pPr>
            <w:r>
              <w:rPr>
                <w:rFonts w:ascii="Arial" w:cs="Arial" w:eastAsia="Arial" w:hAnsi="Arial"/>
                <w:sz w:val="18"/>
                <w:szCs w:val="18"/>
                <w:b w:val="1"/>
                <w:bCs w:val="1"/>
                <w:color w:val="auto"/>
              </w:rPr>
              <w:t>Nominees for Director</w:t>
            </w:r>
          </w:p>
        </w:tc>
        <w:tc>
          <w:tcPr>
            <w:tcW w:w="340" w:type="dxa"/>
            <w:vAlign w:val="bottom"/>
            <w:shd w:val="clear" w:color="auto" w:fill="EDEDED"/>
          </w:tcPr>
          <w:p>
            <w:pPr>
              <w:spacing w:after="0"/>
              <w:rPr>
                <w:sz w:val="21"/>
                <w:szCs w:val="21"/>
                <w:color w:val="auto"/>
              </w:rPr>
            </w:pPr>
          </w:p>
        </w:tc>
        <w:tc>
          <w:tcPr>
            <w:tcW w:w="920" w:type="dxa"/>
            <w:vAlign w:val="bottom"/>
            <w:shd w:val="clear" w:color="auto" w:fill="EDEDED"/>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shd w:val="clear" w:color="auto" w:fill="EDEDED"/>
          </w:tcPr>
          <w:p>
            <w:pPr>
              <w:spacing w:after="0"/>
              <w:rPr>
                <w:sz w:val="21"/>
                <w:szCs w:val="21"/>
                <w:color w:val="auto"/>
              </w:rPr>
            </w:pPr>
          </w:p>
        </w:tc>
        <w:tc>
          <w:tcPr>
            <w:tcW w:w="640" w:type="dxa"/>
            <w:vAlign w:val="bottom"/>
            <w:shd w:val="clear" w:color="auto" w:fill="EDEDED"/>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shd w:val="clear" w:color="auto" w:fill="EDEDED"/>
          </w:tcPr>
          <w:p>
            <w:pPr>
              <w:spacing w:after="0"/>
              <w:rPr>
                <w:sz w:val="21"/>
                <w:szCs w:val="21"/>
                <w:color w:val="auto"/>
              </w:rPr>
            </w:pPr>
          </w:p>
        </w:tc>
        <w:tc>
          <w:tcPr>
            <w:tcW w:w="940" w:type="dxa"/>
            <w:vAlign w:val="bottom"/>
            <w:shd w:val="clear" w:color="auto" w:fill="EDEDED"/>
          </w:tcPr>
          <w:p>
            <w:pPr>
              <w:spacing w:after="0"/>
              <w:rPr>
                <w:sz w:val="21"/>
                <w:szCs w:val="21"/>
                <w:color w:val="auto"/>
              </w:rPr>
            </w:pPr>
          </w:p>
        </w:tc>
        <w:tc>
          <w:tcPr>
            <w:tcW w:w="1360" w:type="dxa"/>
            <w:vAlign w:val="bottom"/>
          </w:tcPr>
          <w:p>
            <w:pPr>
              <w:spacing w:after="0"/>
              <w:rPr>
                <w:sz w:val="21"/>
                <w:szCs w:val="21"/>
                <w:color w:val="auto"/>
              </w:rPr>
            </w:pPr>
          </w:p>
        </w:tc>
        <w:tc>
          <w:tcPr>
            <w:tcW w:w="980" w:type="dxa"/>
            <w:vAlign w:val="bottom"/>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3100" w:type="dxa"/>
            <w:vAlign w:val="bottom"/>
            <w:tcBorders>
              <w:bottom w:val="single" w:sz="8" w:color="FF0C07"/>
            </w:tcBorders>
          </w:tcPr>
          <w:p>
            <w:pPr>
              <w:spacing w:after="0"/>
              <w:rPr>
                <w:sz w:val="20"/>
                <w:szCs w:val="20"/>
                <w:color w:val="auto"/>
              </w:rPr>
            </w:pPr>
            <w:r>
              <w:rPr>
                <w:rFonts w:ascii="Arial" w:cs="Arial" w:eastAsia="Arial" w:hAnsi="Arial"/>
                <w:sz w:val="18"/>
                <w:szCs w:val="18"/>
                <w:color w:val="auto"/>
              </w:rPr>
              <w:t>Wendy M. Pfeiffer</w:t>
            </w:r>
          </w:p>
        </w:tc>
        <w:tc>
          <w:tcPr>
            <w:tcW w:w="340" w:type="dxa"/>
            <w:vAlign w:val="bottom"/>
            <w:tcBorders>
              <w:bottom w:val="single" w:sz="8" w:color="FF0C07"/>
            </w:tcBorders>
            <w:shd w:val="clear" w:color="auto" w:fill="EDEDED"/>
          </w:tcPr>
          <w:p>
            <w:pPr>
              <w:spacing w:after="0"/>
              <w:rPr>
                <w:sz w:val="24"/>
                <w:szCs w:val="24"/>
                <w:color w:val="auto"/>
              </w:rPr>
            </w:pPr>
          </w:p>
        </w:tc>
        <w:tc>
          <w:tcPr>
            <w:tcW w:w="920" w:type="dxa"/>
            <w:vAlign w:val="bottom"/>
            <w:tcBorders>
              <w:bottom w:val="single" w:sz="8" w:color="FF0C07"/>
            </w:tcBorders>
            <w:shd w:val="clear" w:color="auto" w:fill="EDEDED"/>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Borders>
              <w:bottom w:val="single" w:sz="8" w:color="FF0C07"/>
            </w:tcBorders>
          </w:tcPr>
          <w:p>
            <w:pPr>
              <w:jc w:val="right"/>
              <w:spacing w:after="0"/>
              <w:rPr>
                <w:sz w:val="20"/>
                <w:szCs w:val="20"/>
                <w:color w:val="auto"/>
              </w:rPr>
            </w:pPr>
            <w:r>
              <w:rPr>
                <w:rFonts w:ascii="Arial" w:cs="Arial" w:eastAsia="Arial" w:hAnsi="Arial"/>
                <w:sz w:val="18"/>
                <w:szCs w:val="18"/>
                <w:color w:val="auto"/>
              </w:rPr>
              <w:t>2019</w:t>
            </w:r>
          </w:p>
        </w:tc>
        <w:tc>
          <w:tcPr>
            <w:tcW w:w="980" w:type="dxa"/>
            <w:vAlign w:val="bottom"/>
            <w:tcBorders>
              <w:bottom w:val="single" w:sz="8" w:color="FF0C07"/>
            </w:tcBorders>
            <w:gridSpan w:val="2"/>
            <w:shd w:val="clear" w:color="auto" w:fill="EDEDED"/>
          </w:tcPr>
          <w:p>
            <w:pPr>
              <w:jc w:val="right"/>
              <w:spacing w:after="0"/>
              <w:rPr>
                <w:sz w:val="20"/>
                <w:szCs w:val="20"/>
                <w:color w:val="auto"/>
              </w:rPr>
            </w:pPr>
            <w:r>
              <w:rPr>
                <w:rFonts w:ascii="Arial" w:cs="Arial" w:eastAsia="Arial" w:hAnsi="Arial"/>
                <w:sz w:val="18"/>
                <w:szCs w:val="18"/>
                <w:color w:val="auto"/>
              </w:rPr>
              <w:t>57</w:t>
            </w:r>
          </w:p>
        </w:tc>
        <w:tc>
          <w:tcPr>
            <w:tcW w:w="1120" w:type="dxa"/>
            <w:vAlign w:val="bottom"/>
            <w:tcBorders>
              <w:bottom w:val="single" w:sz="8" w:color="FF0C07"/>
            </w:tcBorders>
          </w:tcPr>
          <w:p>
            <w:pPr>
              <w:jc w:val="right"/>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FF0C07"/>
            </w:tcBorders>
            <w:shd w:val="clear" w:color="auto" w:fill="EDEDED"/>
          </w:tcPr>
          <w:p>
            <w:pPr>
              <w:spacing w:after="0"/>
              <w:rPr>
                <w:sz w:val="24"/>
                <w:szCs w:val="24"/>
                <w:color w:val="auto"/>
              </w:rPr>
            </w:pPr>
          </w:p>
        </w:tc>
        <w:tc>
          <w:tcPr>
            <w:tcW w:w="940" w:type="dxa"/>
            <w:vAlign w:val="bottom"/>
            <w:tcBorders>
              <w:bottom w:val="single" w:sz="8" w:color="FF0C07"/>
            </w:tcBorders>
            <w:shd w:val="clear" w:color="auto" w:fill="EDEDED"/>
          </w:tcPr>
          <w:p>
            <w:pPr>
              <w:spacing w:after="0"/>
              <w:rPr>
                <w:sz w:val="24"/>
                <w:szCs w:val="24"/>
                <w:color w:val="auto"/>
              </w:rPr>
            </w:pPr>
          </w:p>
        </w:tc>
        <w:tc>
          <w:tcPr>
            <w:tcW w:w="1360" w:type="dxa"/>
            <w:vAlign w:val="bottom"/>
            <w:tcBorders>
              <w:bottom w:val="single" w:sz="8" w:color="FF0C07"/>
            </w:tcBorders>
          </w:tcPr>
          <w:p>
            <w:pPr>
              <w:spacing w:after="0"/>
              <w:rPr>
                <w:sz w:val="24"/>
                <w:szCs w:val="24"/>
                <w:color w:val="auto"/>
              </w:rPr>
            </w:pPr>
          </w:p>
        </w:tc>
        <w:tc>
          <w:tcPr>
            <w:tcW w:w="980" w:type="dxa"/>
            <w:vAlign w:val="bottom"/>
            <w:tcBorders>
              <w:bottom w:val="single" w:sz="8" w:color="FF0C07"/>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00" w:type="dxa"/>
            <w:vAlign w:val="bottom"/>
          </w:tcPr>
          <w:p>
            <w:pPr>
              <w:spacing w:after="0"/>
              <w:rPr>
                <w:sz w:val="20"/>
                <w:szCs w:val="20"/>
                <w:color w:val="auto"/>
              </w:rPr>
            </w:pPr>
            <w:r>
              <w:rPr>
                <w:rFonts w:ascii="Arial" w:cs="Arial" w:eastAsia="Arial" w:hAnsi="Arial"/>
                <w:sz w:val="18"/>
                <w:szCs w:val="18"/>
                <w:color w:val="auto"/>
              </w:rPr>
              <w:t>John Zangardi</w:t>
            </w:r>
          </w:p>
        </w:tc>
        <w:tc>
          <w:tcPr>
            <w:tcW w:w="340" w:type="dxa"/>
            <w:vAlign w:val="bottom"/>
          </w:tcPr>
          <w:p>
            <w:pPr>
              <w:spacing w:after="0"/>
              <w:rPr>
                <w:sz w:val="24"/>
                <w:szCs w:val="24"/>
                <w:color w:val="auto"/>
              </w:rPr>
            </w:pPr>
          </w:p>
        </w:tc>
        <w:tc>
          <w:tcPr>
            <w:tcW w:w="9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EDEDED"/>
          </w:tcPr>
          <w:p>
            <w:pPr>
              <w:spacing w:after="0"/>
              <w:rPr>
                <w:sz w:val="24"/>
                <w:szCs w:val="24"/>
                <w:color w:val="auto"/>
              </w:rPr>
            </w:pP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62</w:t>
            </w: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1360" w:type="dxa"/>
            <w:vAlign w:val="bottom"/>
          </w:tcPr>
          <w:p>
            <w:pPr>
              <w:jc w:val="center"/>
              <w:ind w:left="284"/>
              <w:spacing w:after="0"/>
              <w:rPr>
                <w:sz w:val="20"/>
                <w:szCs w:val="20"/>
                <w:color w:val="auto"/>
              </w:rPr>
            </w:pPr>
            <w:r>
              <w:rPr>
                <w:rFonts w:ascii="Arial" w:cs="Arial" w:eastAsia="Arial" w:hAnsi="Arial"/>
                <w:sz w:val="18"/>
                <w:szCs w:val="18"/>
                <w:color w:val="auto"/>
                <w:w w:val="99"/>
              </w:rPr>
              <w:t>CHAIR</w:t>
            </w:r>
          </w:p>
        </w:tc>
        <w:tc>
          <w:tcPr>
            <w:tcW w:w="98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10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tcPr>
          <w:p>
            <w:pPr>
              <w:spacing w:after="0"/>
              <w:rPr>
                <w:sz w:val="13"/>
                <w:szCs w:val="13"/>
                <w:color w:val="auto"/>
              </w:rPr>
            </w:pPr>
          </w:p>
        </w:tc>
        <w:tc>
          <w:tcPr>
            <w:tcW w:w="920" w:type="dxa"/>
            <w:vAlign w:val="bottom"/>
            <w:tcBorders>
              <w:bottom w:val="single" w:sz="8" w:color="FF0C07"/>
            </w:tcBorders>
          </w:tcPr>
          <w:p>
            <w:pPr>
              <w:spacing w:after="0"/>
              <w:rPr>
                <w:sz w:val="13"/>
                <w:szCs w:val="13"/>
                <w:color w:val="auto"/>
              </w:rPr>
            </w:pPr>
          </w:p>
        </w:tc>
        <w:tc>
          <w:tcPr>
            <w:tcW w:w="94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640" w:type="dxa"/>
            <w:vAlign w:val="bottom"/>
            <w:tcBorders>
              <w:bottom w:val="single" w:sz="8" w:color="FF0C07"/>
            </w:tcBorders>
            <w:shd w:val="clear" w:color="auto" w:fill="EDEDED"/>
          </w:tcPr>
          <w:p>
            <w:pPr>
              <w:spacing w:after="0"/>
              <w:rPr>
                <w:sz w:val="13"/>
                <w:szCs w:val="13"/>
                <w:color w:val="auto"/>
              </w:rPr>
            </w:pPr>
          </w:p>
        </w:tc>
        <w:tc>
          <w:tcPr>
            <w:tcW w:w="112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940" w:type="dxa"/>
            <w:vAlign w:val="bottom"/>
            <w:tcBorders>
              <w:bottom w:val="single" w:sz="8" w:color="FF0C07"/>
            </w:tcBorders>
            <w:shd w:val="clear" w:color="auto" w:fill="EDEDED"/>
          </w:tcPr>
          <w:p>
            <w:pPr>
              <w:spacing w:after="0"/>
              <w:rPr>
                <w:sz w:val="13"/>
                <w:szCs w:val="13"/>
                <w:color w:val="auto"/>
              </w:rPr>
            </w:pPr>
          </w:p>
        </w:tc>
        <w:tc>
          <w:tcPr>
            <w:tcW w:w="1360" w:type="dxa"/>
            <w:vAlign w:val="bottom"/>
            <w:tcBorders>
              <w:bottom w:val="single" w:sz="8" w:color="FF0C07"/>
            </w:tcBorders>
          </w:tcPr>
          <w:p>
            <w:pPr>
              <w:spacing w:after="0"/>
              <w:rPr>
                <w:sz w:val="13"/>
                <w:szCs w:val="13"/>
                <w:color w:val="auto"/>
              </w:rPr>
            </w:pPr>
          </w:p>
        </w:tc>
        <w:tc>
          <w:tcPr>
            <w:tcW w:w="980" w:type="dxa"/>
            <w:vAlign w:val="bottom"/>
            <w:tcBorders>
              <w:bottom w:val="single" w:sz="8" w:color="FF0C07"/>
            </w:tcBorders>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line="196" w:lineRule="exact"/>
              <w:rPr>
                <w:sz w:val="20"/>
                <w:szCs w:val="20"/>
                <w:color w:val="auto"/>
              </w:rPr>
            </w:pPr>
            <w:r>
              <w:rPr>
                <w:rFonts w:ascii="Arial" w:cs="Arial" w:eastAsia="Arial" w:hAnsi="Arial"/>
                <w:sz w:val="18"/>
                <w:szCs w:val="18"/>
                <w:b w:val="1"/>
                <w:bCs w:val="1"/>
                <w:color w:val="auto"/>
              </w:rPr>
              <w:t>Continuing Directors</w:t>
            </w:r>
          </w:p>
        </w:tc>
        <w:tc>
          <w:tcPr>
            <w:tcW w:w="340" w:type="dxa"/>
            <w:vAlign w:val="bottom"/>
            <w:shd w:val="clear" w:color="auto" w:fill="EDEDED"/>
          </w:tcPr>
          <w:p>
            <w:pPr>
              <w:spacing w:after="0"/>
              <w:rPr>
                <w:sz w:val="17"/>
                <w:szCs w:val="17"/>
                <w:color w:val="auto"/>
              </w:rPr>
            </w:pPr>
          </w:p>
        </w:tc>
        <w:tc>
          <w:tcPr>
            <w:tcW w:w="920" w:type="dxa"/>
            <w:vAlign w:val="bottom"/>
            <w:shd w:val="clear" w:color="auto" w:fill="EDEDED"/>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shd w:val="clear" w:color="auto" w:fill="EDEDED"/>
          </w:tcPr>
          <w:p>
            <w:pPr>
              <w:spacing w:after="0"/>
              <w:rPr>
                <w:sz w:val="17"/>
                <w:szCs w:val="17"/>
                <w:color w:val="auto"/>
              </w:rPr>
            </w:pPr>
          </w:p>
        </w:tc>
        <w:tc>
          <w:tcPr>
            <w:tcW w:w="640" w:type="dxa"/>
            <w:vAlign w:val="bottom"/>
            <w:shd w:val="clear" w:color="auto" w:fill="EDEDED"/>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shd w:val="clear" w:color="auto" w:fill="EDEDED"/>
          </w:tcPr>
          <w:p>
            <w:pPr>
              <w:spacing w:after="0"/>
              <w:rPr>
                <w:sz w:val="17"/>
                <w:szCs w:val="17"/>
                <w:color w:val="auto"/>
              </w:rPr>
            </w:pPr>
          </w:p>
        </w:tc>
        <w:tc>
          <w:tcPr>
            <w:tcW w:w="940" w:type="dxa"/>
            <w:vAlign w:val="bottom"/>
            <w:shd w:val="clear" w:color="auto" w:fill="EDEDED"/>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100" w:type="dxa"/>
            <w:vAlign w:val="bottom"/>
          </w:tcPr>
          <w:p>
            <w:pPr>
              <w:spacing w:after="0"/>
              <w:rPr>
                <w:sz w:val="20"/>
                <w:szCs w:val="20"/>
                <w:color w:val="auto"/>
              </w:rPr>
            </w:pPr>
            <w:r>
              <w:rPr>
                <w:rFonts w:ascii="Arial" w:cs="Arial" w:eastAsia="Arial" w:hAnsi="Arial"/>
                <w:sz w:val="18"/>
                <w:szCs w:val="18"/>
                <w:color w:val="auto"/>
              </w:rPr>
              <w:t>Kristi M. Rogers</w:t>
            </w:r>
          </w:p>
        </w:tc>
        <w:tc>
          <w:tcPr>
            <w:tcW w:w="340" w:type="dxa"/>
            <w:vAlign w:val="bottom"/>
            <w:shd w:val="clear" w:color="auto" w:fill="EDEDED"/>
          </w:tcPr>
          <w:p>
            <w:pPr>
              <w:spacing w:after="0"/>
              <w:rPr>
                <w:sz w:val="24"/>
                <w:szCs w:val="24"/>
                <w:color w:val="auto"/>
              </w:rPr>
            </w:pPr>
          </w:p>
        </w:tc>
        <w:tc>
          <w:tcPr>
            <w:tcW w:w="920" w:type="dxa"/>
            <w:vAlign w:val="bottom"/>
            <w:shd w:val="clear" w:color="auto" w:fill="EDEDED"/>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2013</w:t>
            </w:r>
          </w:p>
        </w:tc>
        <w:tc>
          <w:tcPr>
            <w:tcW w:w="98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auto"/>
              </w:rPr>
              <w:t>53</w:t>
            </w: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shd w:val="clear" w:color="auto" w:fill="EDEDED"/>
          </w:tcPr>
          <w:p>
            <w:pPr>
              <w:jc w:val="center"/>
              <w:ind w:left="104"/>
              <w:spacing w:after="0"/>
              <w:rPr>
                <w:sz w:val="20"/>
                <w:szCs w:val="20"/>
                <w:color w:val="auto"/>
              </w:rPr>
            </w:pPr>
            <w:r>
              <w:rPr>
                <w:rFonts w:ascii="Arial" w:cs="Arial" w:eastAsia="Arial" w:hAnsi="Arial"/>
                <w:sz w:val="18"/>
                <w:szCs w:val="18"/>
                <w:color w:val="auto"/>
                <w:w w:val="99"/>
              </w:rPr>
              <w:t>CHAIR</w:t>
            </w:r>
          </w:p>
        </w:tc>
        <w:tc>
          <w:tcPr>
            <w:tcW w:w="0" w:type="dxa"/>
            <w:vAlign w:val="bottom"/>
          </w:tcPr>
          <w:p>
            <w:pPr>
              <w:spacing w:after="0"/>
              <w:rPr>
                <w:sz w:val="1"/>
                <w:szCs w:val="1"/>
                <w:color w:val="auto"/>
              </w:rPr>
            </w:pPr>
          </w:p>
        </w:tc>
      </w:tr>
      <w:tr>
        <w:trPr>
          <w:trHeight w:val="156"/>
        </w:trPr>
        <w:tc>
          <w:tcPr>
            <w:tcW w:w="310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920" w:type="dxa"/>
            <w:vAlign w:val="bottom"/>
            <w:tcBorders>
              <w:bottom w:val="single" w:sz="8" w:color="FF0C07"/>
            </w:tcBorders>
            <w:shd w:val="clear" w:color="auto" w:fill="EDEDED"/>
          </w:tcPr>
          <w:p>
            <w:pPr>
              <w:spacing w:after="0"/>
              <w:rPr>
                <w:sz w:val="13"/>
                <w:szCs w:val="13"/>
                <w:color w:val="auto"/>
              </w:rPr>
            </w:pPr>
          </w:p>
        </w:tc>
        <w:tc>
          <w:tcPr>
            <w:tcW w:w="940" w:type="dxa"/>
            <w:vAlign w:val="bottom"/>
            <w:tcBorders>
              <w:bottom w:val="single" w:sz="8" w:color="FF0C07"/>
            </w:tcBorders>
          </w:tcPr>
          <w:p>
            <w:pPr>
              <w:spacing w:after="0"/>
              <w:rPr>
                <w:sz w:val="13"/>
                <w:szCs w:val="13"/>
                <w:color w:val="auto"/>
              </w:rPr>
            </w:pPr>
          </w:p>
        </w:tc>
        <w:tc>
          <w:tcPr>
            <w:tcW w:w="980" w:type="dxa"/>
            <w:vAlign w:val="bottom"/>
            <w:tcBorders>
              <w:bottom w:val="single" w:sz="8" w:color="FF0C07"/>
            </w:tcBorders>
            <w:gridSpan w:val="2"/>
            <w:shd w:val="clear" w:color="auto" w:fill="EDEDED"/>
          </w:tcPr>
          <w:p>
            <w:pPr>
              <w:spacing w:after="0"/>
              <w:rPr>
                <w:sz w:val="13"/>
                <w:szCs w:val="13"/>
                <w:color w:val="auto"/>
              </w:rPr>
            </w:pPr>
          </w:p>
        </w:tc>
        <w:tc>
          <w:tcPr>
            <w:tcW w:w="112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940" w:type="dxa"/>
            <w:vAlign w:val="bottom"/>
            <w:tcBorders>
              <w:bottom w:val="single" w:sz="8" w:color="FF0C07"/>
            </w:tcBorders>
            <w:shd w:val="clear" w:color="auto" w:fill="EDEDED"/>
          </w:tcPr>
          <w:p>
            <w:pPr>
              <w:spacing w:after="0"/>
              <w:rPr>
                <w:sz w:val="13"/>
                <w:szCs w:val="13"/>
                <w:color w:val="auto"/>
              </w:rPr>
            </w:pPr>
          </w:p>
        </w:tc>
        <w:tc>
          <w:tcPr>
            <w:tcW w:w="1360" w:type="dxa"/>
            <w:vAlign w:val="bottom"/>
            <w:tcBorders>
              <w:bottom w:val="single" w:sz="8" w:color="FF0C07"/>
            </w:tcBorders>
          </w:tcPr>
          <w:p>
            <w:pPr>
              <w:spacing w:after="0"/>
              <w:rPr>
                <w:sz w:val="13"/>
                <w:szCs w:val="13"/>
                <w:color w:val="auto"/>
              </w:rPr>
            </w:pPr>
          </w:p>
        </w:tc>
        <w:tc>
          <w:tcPr>
            <w:tcW w:w="980" w:type="dxa"/>
            <w:vAlign w:val="bottom"/>
            <w:tcBorders>
              <w:bottom w:val="single" w:sz="8" w:color="FF0C07"/>
            </w:tcBorders>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William Berutti</w:t>
            </w:r>
          </w:p>
        </w:tc>
        <w:tc>
          <w:tcPr>
            <w:tcW w:w="340" w:type="dxa"/>
            <w:vAlign w:val="bottom"/>
            <w:shd w:val="clear" w:color="auto" w:fill="EDEDED"/>
          </w:tcPr>
          <w:p>
            <w:pPr>
              <w:spacing w:after="0"/>
              <w:rPr>
                <w:sz w:val="24"/>
                <w:szCs w:val="24"/>
                <w:color w:val="auto"/>
              </w:rPr>
            </w:pPr>
          </w:p>
        </w:tc>
        <w:tc>
          <w:tcPr>
            <w:tcW w:w="920" w:type="dxa"/>
            <w:vAlign w:val="bottom"/>
            <w:shd w:val="clear" w:color="auto" w:fill="EDEDED"/>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2021</w:t>
            </w:r>
          </w:p>
        </w:tc>
        <w:tc>
          <w:tcPr>
            <w:tcW w:w="98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auto"/>
              </w:rPr>
              <w:t>52</w:t>
            </w: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10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920" w:type="dxa"/>
            <w:vAlign w:val="bottom"/>
            <w:tcBorders>
              <w:bottom w:val="single" w:sz="8" w:color="FF0C07"/>
            </w:tcBorders>
            <w:shd w:val="clear" w:color="auto" w:fill="EDEDED"/>
          </w:tcPr>
          <w:p>
            <w:pPr>
              <w:spacing w:after="0"/>
              <w:rPr>
                <w:sz w:val="13"/>
                <w:szCs w:val="13"/>
                <w:color w:val="auto"/>
              </w:rPr>
            </w:pPr>
          </w:p>
        </w:tc>
        <w:tc>
          <w:tcPr>
            <w:tcW w:w="94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640" w:type="dxa"/>
            <w:vAlign w:val="bottom"/>
            <w:tcBorders>
              <w:bottom w:val="single" w:sz="8" w:color="FF0C07"/>
            </w:tcBorders>
            <w:shd w:val="clear" w:color="auto" w:fill="EDEDED"/>
          </w:tcPr>
          <w:p>
            <w:pPr>
              <w:spacing w:after="0"/>
              <w:rPr>
                <w:sz w:val="13"/>
                <w:szCs w:val="13"/>
                <w:color w:val="auto"/>
              </w:rPr>
            </w:pPr>
          </w:p>
        </w:tc>
        <w:tc>
          <w:tcPr>
            <w:tcW w:w="112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940" w:type="dxa"/>
            <w:vAlign w:val="bottom"/>
            <w:tcBorders>
              <w:bottom w:val="single" w:sz="8" w:color="FF0C07"/>
            </w:tcBorders>
            <w:shd w:val="clear" w:color="auto" w:fill="EDEDED"/>
          </w:tcPr>
          <w:p>
            <w:pPr>
              <w:spacing w:after="0"/>
              <w:rPr>
                <w:sz w:val="13"/>
                <w:szCs w:val="13"/>
                <w:color w:val="auto"/>
              </w:rPr>
            </w:pPr>
          </w:p>
        </w:tc>
        <w:tc>
          <w:tcPr>
            <w:tcW w:w="1360" w:type="dxa"/>
            <w:vAlign w:val="bottom"/>
            <w:tcBorders>
              <w:bottom w:val="single" w:sz="8" w:color="FF0C07"/>
            </w:tcBorders>
          </w:tcPr>
          <w:p>
            <w:pPr>
              <w:spacing w:after="0"/>
              <w:rPr>
                <w:sz w:val="13"/>
                <w:szCs w:val="13"/>
                <w:color w:val="auto"/>
              </w:rPr>
            </w:pPr>
          </w:p>
        </w:tc>
        <w:tc>
          <w:tcPr>
            <w:tcW w:w="980" w:type="dxa"/>
            <w:vAlign w:val="bottom"/>
            <w:tcBorders>
              <w:bottom w:val="single" w:sz="8" w:color="FF0C07"/>
            </w:tcBorders>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3100" w:type="dxa"/>
            <w:vAlign w:val="bottom"/>
          </w:tcPr>
          <w:p>
            <w:pPr>
              <w:spacing w:after="0"/>
              <w:rPr>
                <w:sz w:val="20"/>
                <w:szCs w:val="20"/>
                <w:color w:val="auto"/>
              </w:rPr>
            </w:pPr>
            <w:r>
              <w:rPr>
                <w:rFonts w:ascii="Arial" w:cs="Arial" w:eastAsia="Arial" w:hAnsi="Arial"/>
                <w:sz w:val="18"/>
                <w:szCs w:val="18"/>
                <w:color w:val="auto"/>
              </w:rPr>
              <w:t>Jeffrey P. Hank</w:t>
            </w:r>
          </w:p>
        </w:tc>
        <w:tc>
          <w:tcPr>
            <w:tcW w:w="340" w:type="dxa"/>
            <w:vAlign w:val="bottom"/>
            <w:shd w:val="clear" w:color="auto" w:fill="EDEDED"/>
          </w:tcPr>
          <w:p>
            <w:pPr>
              <w:spacing w:after="0"/>
              <w:rPr>
                <w:sz w:val="23"/>
                <w:szCs w:val="23"/>
                <w:color w:val="auto"/>
              </w:rPr>
            </w:pPr>
          </w:p>
        </w:tc>
        <w:tc>
          <w:tcPr>
            <w:tcW w:w="920" w:type="dxa"/>
            <w:vAlign w:val="bottom"/>
            <w:vMerge w:val="restart"/>
            <w:shd w:val="clear" w:color="auto" w:fill="EDEDED"/>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2010</w:t>
            </w:r>
          </w:p>
        </w:tc>
        <w:tc>
          <w:tcPr>
            <w:tcW w:w="980" w:type="dxa"/>
            <w:vAlign w:val="bottom"/>
            <w:gridSpan w:val="2"/>
            <w:vMerge w:val="restart"/>
            <w:shd w:val="clear" w:color="auto" w:fill="EDEDED"/>
          </w:tcPr>
          <w:p>
            <w:pPr>
              <w:jc w:val="right"/>
              <w:spacing w:after="0"/>
              <w:rPr>
                <w:sz w:val="20"/>
                <w:szCs w:val="20"/>
                <w:color w:val="auto"/>
              </w:rPr>
            </w:pPr>
            <w:r>
              <w:rPr>
                <w:rFonts w:ascii="Arial" w:cs="Arial" w:eastAsia="Arial" w:hAnsi="Arial"/>
                <w:sz w:val="18"/>
                <w:szCs w:val="18"/>
                <w:color w:val="auto"/>
              </w:rPr>
              <w:t>63</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EDEDED"/>
          </w:tcPr>
          <w:p>
            <w:pPr>
              <w:spacing w:after="0"/>
              <w:rPr>
                <w:sz w:val="23"/>
                <w:szCs w:val="23"/>
                <w:color w:val="auto"/>
              </w:rPr>
            </w:pPr>
          </w:p>
        </w:tc>
        <w:tc>
          <w:tcPr>
            <w:tcW w:w="940" w:type="dxa"/>
            <w:vAlign w:val="bottom"/>
            <w:vMerge w:val="restart"/>
            <w:shd w:val="clear" w:color="auto" w:fill="EDEDED"/>
          </w:tcPr>
          <w:p>
            <w:pPr>
              <w:ind w:left="200"/>
              <w:spacing w:after="0"/>
              <w:rPr>
                <w:sz w:val="20"/>
                <w:szCs w:val="20"/>
                <w:color w:val="auto"/>
              </w:rPr>
            </w:pPr>
            <w:r>
              <w:rPr>
                <w:rFonts w:ascii="Arial" w:cs="Arial" w:eastAsia="Arial" w:hAnsi="Arial"/>
                <w:sz w:val="18"/>
                <w:szCs w:val="18"/>
                <w:color w:val="auto"/>
              </w:rPr>
              <w:t>CHAIR</w:t>
            </w:r>
          </w:p>
        </w:tc>
        <w:tc>
          <w:tcPr>
            <w:tcW w:w="1360" w:type="dxa"/>
            <w:vAlign w:val="bottom"/>
          </w:tcPr>
          <w:p>
            <w:pPr>
              <w:spacing w:after="0"/>
              <w:rPr>
                <w:sz w:val="23"/>
                <w:szCs w:val="23"/>
                <w:color w:val="auto"/>
              </w:rPr>
            </w:pPr>
          </w:p>
        </w:tc>
        <w:tc>
          <w:tcPr>
            <w:tcW w:w="98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3100" w:type="dxa"/>
            <w:vAlign w:val="bottom"/>
          </w:tcPr>
          <w:p>
            <w:pPr>
              <w:ind w:left="180"/>
              <w:spacing w:after="0"/>
              <w:rPr>
                <w:sz w:val="20"/>
                <w:szCs w:val="20"/>
                <w:color w:val="auto"/>
              </w:rPr>
            </w:pPr>
            <w:r>
              <w:rPr>
                <w:rFonts w:ascii="Arial" w:cs="Arial" w:eastAsia="Arial" w:hAnsi="Arial"/>
                <w:sz w:val="18"/>
                <w:szCs w:val="18"/>
                <w:i w:val="1"/>
                <w:iCs w:val="1"/>
                <w:color w:val="auto"/>
              </w:rPr>
              <w:t>Chair of the Board</w:t>
            </w:r>
          </w:p>
        </w:tc>
        <w:tc>
          <w:tcPr>
            <w:tcW w:w="340" w:type="dxa"/>
            <w:vAlign w:val="bottom"/>
            <w:shd w:val="clear" w:color="auto" w:fill="EDEDED"/>
          </w:tcPr>
          <w:p>
            <w:pPr>
              <w:spacing w:after="0"/>
              <w:rPr>
                <w:sz w:val="20"/>
                <w:szCs w:val="20"/>
                <w:color w:val="auto"/>
              </w:rPr>
            </w:pPr>
          </w:p>
        </w:tc>
        <w:tc>
          <w:tcPr>
            <w:tcW w:w="920" w:type="dxa"/>
            <w:vAlign w:val="bottom"/>
            <w:vMerge w:val="continue"/>
            <w:shd w:val="clear" w:color="auto" w:fill="EDEDED"/>
          </w:tcPr>
          <w:p>
            <w:pPr>
              <w:spacing w:after="0"/>
              <w:rPr>
                <w:sz w:val="20"/>
                <w:szCs w:val="20"/>
                <w:color w:val="auto"/>
              </w:rPr>
            </w:pPr>
          </w:p>
        </w:tc>
        <w:tc>
          <w:tcPr>
            <w:tcW w:w="940" w:type="dxa"/>
            <w:vAlign w:val="bottom"/>
            <w:vMerge w:val="continue"/>
          </w:tcPr>
          <w:p>
            <w:pPr>
              <w:spacing w:after="0"/>
              <w:rPr>
                <w:sz w:val="20"/>
                <w:szCs w:val="20"/>
                <w:color w:val="auto"/>
              </w:rPr>
            </w:pPr>
          </w:p>
        </w:tc>
        <w:tc>
          <w:tcPr>
            <w:tcW w:w="980" w:type="dxa"/>
            <w:vAlign w:val="bottom"/>
            <w:gridSpan w:val="2"/>
            <w:vMerge w:val="continue"/>
            <w:shd w:val="clear" w:color="auto" w:fill="EDEDED"/>
          </w:tcPr>
          <w:p>
            <w:pPr>
              <w:spacing w:after="0"/>
              <w:rPr>
                <w:sz w:val="20"/>
                <w:szCs w:val="20"/>
                <w:color w:val="auto"/>
              </w:rPr>
            </w:pPr>
          </w:p>
        </w:tc>
        <w:tc>
          <w:tcPr>
            <w:tcW w:w="1120" w:type="dxa"/>
            <w:vAlign w:val="bottom"/>
            <w:vMerge w:val="continue"/>
          </w:tcPr>
          <w:p>
            <w:pPr>
              <w:spacing w:after="0"/>
              <w:rPr>
                <w:sz w:val="20"/>
                <w:szCs w:val="20"/>
                <w:color w:val="auto"/>
              </w:rPr>
            </w:pPr>
          </w:p>
        </w:tc>
        <w:tc>
          <w:tcPr>
            <w:tcW w:w="340" w:type="dxa"/>
            <w:vAlign w:val="bottom"/>
            <w:shd w:val="clear" w:color="auto" w:fill="EDEDED"/>
          </w:tcPr>
          <w:p>
            <w:pPr>
              <w:spacing w:after="0"/>
              <w:rPr>
                <w:sz w:val="20"/>
                <w:szCs w:val="20"/>
                <w:color w:val="auto"/>
              </w:rPr>
            </w:pPr>
          </w:p>
        </w:tc>
        <w:tc>
          <w:tcPr>
            <w:tcW w:w="940" w:type="dxa"/>
            <w:vAlign w:val="bottom"/>
            <w:vMerge w:val="continue"/>
            <w:shd w:val="clear" w:color="auto" w:fill="EDEDED"/>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10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920" w:type="dxa"/>
            <w:vAlign w:val="bottom"/>
            <w:tcBorders>
              <w:bottom w:val="single" w:sz="8" w:color="FF0C07"/>
            </w:tcBorders>
            <w:shd w:val="clear" w:color="auto" w:fill="EDEDED"/>
          </w:tcPr>
          <w:p>
            <w:pPr>
              <w:spacing w:after="0"/>
              <w:rPr>
                <w:sz w:val="13"/>
                <w:szCs w:val="13"/>
                <w:color w:val="auto"/>
              </w:rPr>
            </w:pPr>
          </w:p>
        </w:tc>
        <w:tc>
          <w:tcPr>
            <w:tcW w:w="94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640" w:type="dxa"/>
            <w:vAlign w:val="bottom"/>
            <w:tcBorders>
              <w:bottom w:val="single" w:sz="8" w:color="FF0C07"/>
            </w:tcBorders>
            <w:shd w:val="clear" w:color="auto" w:fill="EDEDED"/>
          </w:tcPr>
          <w:p>
            <w:pPr>
              <w:spacing w:after="0"/>
              <w:rPr>
                <w:sz w:val="13"/>
                <w:szCs w:val="13"/>
                <w:color w:val="auto"/>
              </w:rPr>
            </w:pPr>
          </w:p>
        </w:tc>
        <w:tc>
          <w:tcPr>
            <w:tcW w:w="112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940" w:type="dxa"/>
            <w:vAlign w:val="bottom"/>
            <w:tcBorders>
              <w:bottom w:val="single" w:sz="8" w:color="FF0C07"/>
            </w:tcBorders>
            <w:shd w:val="clear" w:color="auto" w:fill="EDEDED"/>
          </w:tcPr>
          <w:p>
            <w:pPr>
              <w:spacing w:after="0"/>
              <w:rPr>
                <w:sz w:val="13"/>
                <w:szCs w:val="13"/>
                <w:color w:val="auto"/>
              </w:rPr>
            </w:pPr>
          </w:p>
        </w:tc>
        <w:tc>
          <w:tcPr>
            <w:tcW w:w="1360" w:type="dxa"/>
            <w:vAlign w:val="bottom"/>
            <w:tcBorders>
              <w:bottom w:val="single" w:sz="8" w:color="FF0C07"/>
            </w:tcBorders>
          </w:tcPr>
          <w:p>
            <w:pPr>
              <w:spacing w:after="0"/>
              <w:rPr>
                <w:sz w:val="13"/>
                <w:szCs w:val="13"/>
                <w:color w:val="auto"/>
              </w:rPr>
            </w:pPr>
          </w:p>
        </w:tc>
        <w:tc>
          <w:tcPr>
            <w:tcW w:w="980" w:type="dxa"/>
            <w:vAlign w:val="bottom"/>
            <w:tcBorders>
              <w:bottom w:val="single" w:sz="8" w:color="FF0C07"/>
            </w:tcBorders>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3100" w:type="dxa"/>
            <w:vAlign w:val="bottom"/>
          </w:tcPr>
          <w:p>
            <w:pPr>
              <w:spacing w:after="0"/>
              <w:rPr>
                <w:sz w:val="20"/>
                <w:szCs w:val="20"/>
                <w:color w:val="auto"/>
              </w:rPr>
            </w:pPr>
            <w:r>
              <w:rPr>
                <w:rFonts w:ascii="Arial" w:cs="Arial" w:eastAsia="Arial" w:hAnsi="Arial"/>
                <w:sz w:val="18"/>
                <w:szCs w:val="18"/>
                <w:color w:val="auto"/>
              </w:rPr>
              <w:t>Sumedh S. Thakar</w:t>
            </w:r>
          </w:p>
        </w:tc>
        <w:tc>
          <w:tcPr>
            <w:tcW w:w="340" w:type="dxa"/>
            <w:vAlign w:val="bottom"/>
            <w:shd w:val="clear" w:color="auto" w:fill="EDEDED"/>
          </w:tcPr>
          <w:p>
            <w:pPr>
              <w:spacing w:after="0"/>
              <w:rPr>
                <w:sz w:val="23"/>
                <w:szCs w:val="23"/>
                <w:color w:val="auto"/>
              </w:rPr>
            </w:pPr>
          </w:p>
        </w:tc>
        <w:tc>
          <w:tcPr>
            <w:tcW w:w="920" w:type="dxa"/>
            <w:vAlign w:val="bottom"/>
            <w:shd w:val="clear" w:color="auto" w:fill="EDEDED"/>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EDEDED"/>
          </w:tcPr>
          <w:p>
            <w:pPr>
              <w:spacing w:after="0"/>
              <w:rPr>
                <w:sz w:val="23"/>
                <w:szCs w:val="23"/>
                <w:color w:val="auto"/>
              </w:rPr>
            </w:pPr>
          </w:p>
        </w:tc>
        <w:tc>
          <w:tcPr>
            <w:tcW w:w="64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47</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EDEDED"/>
          </w:tcPr>
          <w:p>
            <w:pPr>
              <w:spacing w:after="0"/>
              <w:rPr>
                <w:sz w:val="23"/>
                <w:szCs w:val="23"/>
                <w:color w:val="auto"/>
              </w:rPr>
            </w:pPr>
          </w:p>
        </w:tc>
        <w:tc>
          <w:tcPr>
            <w:tcW w:w="940" w:type="dxa"/>
            <w:vAlign w:val="bottom"/>
            <w:shd w:val="clear" w:color="auto" w:fill="EDEDED"/>
          </w:tcPr>
          <w:p>
            <w:pPr>
              <w:spacing w:after="0"/>
              <w:rPr>
                <w:sz w:val="23"/>
                <w:szCs w:val="23"/>
                <w:color w:val="auto"/>
              </w:rPr>
            </w:pPr>
          </w:p>
        </w:tc>
        <w:tc>
          <w:tcPr>
            <w:tcW w:w="1360" w:type="dxa"/>
            <w:vAlign w:val="bottom"/>
          </w:tcPr>
          <w:p>
            <w:pPr>
              <w:spacing w:after="0"/>
              <w:rPr>
                <w:sz w:val="23"/>
                <w:szCs w:val="23"/>
                <w:color w:val="auto"/>
              </w:rPr>
            </w:pPr>
          </w:p>
        </w:tc>
        <w:tc>
          <w:tcPr>
            <w:tcW w:w="98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8"/>
                <w:szCs w:val="18"/>
                <w:i w:val="1"/>
                <w:iCs w:val="1"/>
                <w:color w:val="auto"/>
              </w:rPr>
              <w:t>President &amp; CEO</w:t>
            </w:r>
          </w:p>
        </w:tc>
        <w:tc>
          <w:tcPr>
            <w:tcW w:w="340" w:type="dxa"/>
            <w:vAlign w:val="bottom"/>
            <w:shd w:val="clear" w:color="auto" w:fill="EDEDED"/>
          </w:tcPr>
          <w:p>
            <w:pPr>
              <w:spacing w:after="0"/>
              <w:rPr>
                <w:sz w:val="20"/>
                <w:szCs w:val="20"/>
                <w:color w:val="auto"/>
              </w:rPr>
            </w:pPr>
          </w:p>
        </w:tc>
        <w:tc>
          <w:tcPr>
            <w:tcW w:w="920" w:type="dxa"/>
            <w:vAlign w:val="bottom"/>
            <w:shd w:val="clear" w:color="auto" w:fill="EDEDED"/>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shd w:val="clear" w:color="auto" w:fill="EDEDED"/>
          </w:tcPr>
          <w:p>
            <w:pPr>
              <w:spacing w:after="0"/>
              <w:rPr>
                <w:sz w:val="20"/>
                <w:szCs w:val="20"/>
                <w:color w:val="auto"/>
              </w:rPr>
            </w:pPr>
          </w:p>
        </w:tc>
        <w:tc>
          <w:tcPr>
            <w:tcW w:w="640" w:type="dxa"/>
            <w:vAlign w:val="bottom"/>
            <w:vMerge w:val="continue"/>
            <w:shd w:val="clear" w:color="auto" w:fill="EDEDED"/>
          </w:tcPr>
          <w:p>
            <w:pPr>
              <w:spacing w:after="0"/>
              <w:rPr>
                <w:sz w:val="20"/>
                <w:szCs w:val="20"/>
                <w:color w:val="auto"/>
              </w:rPr>
            </w:pPr>
          </w:p>
        </w:tc>
        <w:tc>
          <w:tcPr>
            <w:tcW w:w="1120" w:type="dxa"/>
            <w:vAlign w:val="bottom"/>
            <w:vMerge w:val="continue"/>
          </w:tcPr>
          <w:p>
            <w:pPr>
              <w:spacing w:after="0"/>
              <w:rPr>
                <w:sz w:val="20"/>
                <w:szCs w:val="20"/>
                <w:color w:val="auto"/>
              </w:rPr>
            </w:pPr>
          </w:p>
        </w:tc>
        <w:tc>
          <w:tcPr>
            <w:tcW w:w="340" w:type="dxa"/>
            <w:vAlign w:val="bottom"/>
            <w:shd w:val="clear" w:color="auto" w:fill="EDEDED"/>
          </w:tcPr>
          <w:p>
            <w:pPr>
              <w:spacing w:after="0"/>
              <w:rPr>
                <w:sz w:val="20"/>
                <w:szCs w:val="20"/>
                <w:color w:val="auto"/>
              </w:rPr>
            </w:pPr>
          </w:p>
        </w:tc>
        <w:tc>
          <w:tcPr>
            <w:tcW w:w="940" w:type="dxa"/>
            <w:vAlign w:val="bottom"/>
            <w:shd w:val="clear" w:color="auto" w:fill="EDEDED"/>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10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920" w:type="dxa"/>
            <w:vAlign w:val="bottom"/>
            <w:tcBorders>
              <w:bottom w:val="single" w:sz="8" w:color="FF0C07"/>
            </w:tcBorders>
            <w:shd w:val="clear" w:color="auto" w:fill="EDEDED"/>
          </w:tcPr>
          <w:p>
            <w:pPr>
              <w:spacing w:after="0"/>
              <w:rPr>
                <w:sz w:val="13"/>
                <w:szCs w:val="13"/>
                <w:color w:val="auto"/>
              </w:rPr>
            </w:pPr>
          </w:p>
        </w:tc>
        <w:tc>
          <w:tcPr>
            <w:tcW w:w="94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640" w:type="dxa"/>
            <w:vAlign w:val="bottom"/>
            <w:tcBorders>
              <w:bottom w:val="single" w:sz="8" w:color="FF0C07"/>
            </w:tcBorders>
            <w:shd w:val="clear" w:color="auto" w:fill="EDEDED"/>
          </w:tcPr>
          <w:p>
            <w:pPr>
              <w:spacing w:after="0"/>
              <w:rPr>
                <w:sz w:val="13"/>
                <w:szCs w:val="13"/>
                <w:color w:val="auto"/>
              </w:rPr>
            </w:pPr>
          </w:p>
        </w:tc>
        <w:tc>
          <w:tcPr>
            <w:tcW w:w="1120" w:type="dxa"/>
            <w:vAlign w:val="bottom"/>
            <w:tcBorders>
              <w:bottom w:val="single" w:sz="8" w:color="FF0C07"/>
            </w:tcBorders>
          </w:tcPr>
          <w:p>
            <w:pPr>
              <w:spacing w:after="0"/>
              <w:rPr>
                <w:sz w:val="13"/>
                <w:szCs w:val="13"/>
                <w:color w:val="auto"/>
              </w:rPr>
            </w:pPr>
          </w:p>
        </w:tc>
        <w:tc>
          <w:tcPr>
            <w:tcW w:w="340" w:type="dxa"/>
            <w:vAlign w:val="bottom"/>
            <w:tcBorders>
              <w:bottom w:val="single" w:sz="8" w:color="FF0C07"/>
            </w:tcBorders>
            <w:shd w:val="clear" w:color="auto" w:fill="EDEDED"/>
          </w:tcPr>
          <w:p>
            <w:pPr>
              <w:spacing w:after="0"/>
              <w:rPr>
                <w:sz w:val="13"/>
                <w:szCs w:val="13"/>
                <w:color w:val="auto"/>
              </w:rPr>
            </w:pPr>
          </w:p>
        </w:tc>
        <w:tc>
          <w:tcPr>
            <w:tcW w:w="940" w:type="dxa"/>
            <w:vAlign w:val="bottom"/>
            <w:tcBorders>
              <w:bottom w:val="single" w:sz="8" w:color="FF0C07"/>
            </w:tcBorders>
            <w:shd w:val="clear" w:color="auto" w:fill="EDEDED"/>
          </w:tcPr>
          <w:p>
            <w:pPr>
              <w:spacing w:after="0"/>
              <w:rPr>
                <w:sz w:val="13"/>
                <w:szCs w:val="13"/>
                <w:color w:val="auto"/>
              </w:rPr>
            </w:pPr>
          </w:p>
        </w:tc>
        <w:tc>
          <w:tcPr>
            <w:tcW w:w="1360" w:type="dxa"/>
            <w:vAlign w:val="bottom"/>
            <w:tcBorders>
              <w:bottom w:val="single" w:sz="8" w:color="FF0C07"/>
            </w:tcBorders>
          </w:tcPr>
          <w:p>
            <w:pPr>
              <w:spacing w:after="0"/>
              <w:rPr>
                <w:sz w:val="13"/>
                <w:szCs w:val="13"/>
                <w:color w:val="auto"/>
              </w:rPr>
            </w:pPr>
          </w:p>
        </w:tc>
        <w:tc>
          <w:tcPr>
            <w:tcW w:w="980" w:type="dxa"/>
            <w:vAlign w:val="bottom"/>
            <w:tcBorders>
              <w:bottom w:val="single" w:sz="8" w:color="FF0C07"/>
            </w:tcBorders>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line="196" w:lineRule="exact"/>
              <w:rPr>
                <w:sz w:val="20"/>
                <w:szCs w:val="20"/>
                <w:color w:val="auto"/>
              </w:rPr>
            </w:pPr>
            <w:r>
              <w:rPr>
                <w:rFonts w:ascii="Arial" w:cs="Arial" w:eastAsia="Arial" w:hAnsi="Arial"/>
                <w:sz w:val="18"/>
                <w:szCs w:val="18"/>
                <w:b w:val="1"/>
                <w:bCs w:val="1"/>
                <w:color w:val="auto"/>
              </w:rPr>
              <w:t>Retiring Director</w:t>
            </w:r>
          </w:p>
        </w:tc>
        <w:tc>
          <w:tcPr>
            <w:tcW w:w="340" w:type="dxa"/>
            <w:vAlign w:val="bottom"/>
            <w:shd w:val="clear" w:color="auto" w:fill="EDEDED"/>
          </w:tcPr>
          <w:p>
            <w:pPr>
              <w:spacing w:after="0"/>
              <w:rPr>
                <w:sz w:val="17"/>
                <w:szCs w:val="17"/>
                <w:color w:val="auto"/>
              </w:rPr>
            </w:pPr>
          </w:p>
        </w:tc>
        <w:tc>
          <w:tcPr>
            <w:tcW w:w="920" w:type="dxa"/>
            <w:vAlign w:val="bottom"/>
            <w:shd w:val="clear" w:color="auto" w:fill="EDEDED"/>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shd w:val="clear" w:color="auto" w:fill="EDEDED"/>
          </w:tcPr>
          <w:p>
            <w:pPr>
              <w:spacing w:after="0"/>
              <w:rPr>
                <w:sz w:val="17"/>
                <w:szCs w:val="17"/>
                <w:color w:val="auto"/>
              </w:rPr>
            </w:pPr>
          </w:p>
        </w:tc>
        <w:tc>
          <w:tcPr>
            <w:tcW w:w="640" w:type="dxa"/>
            <w:vAlign w:val="bottom"/>
            <w:shd w:val="clear" w:color="auto" w:fill="EDEDED"/>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shd w:val="clear" w:color="auto" w:fill="EDEDED"/>
          </w:tcPr>
          <w:p>
            <w:pPr>
              <w:spacing w:after="0"/>
              <w:rPr>
                <w:sz w:val="17"/>
                <w:szCs w:val="17"/>
                <w:color w:val="auto"/>
              </w:rPr>
            </w:pPr>
          </w:p>
        </w:tc>
        <w:tc>
          <w:tcPr>
            <w:tcW w:w="940" w:type="dxa"/>
            <w:vAlign w:val="bottom"/>
            <w:shd w:val="clear" w:color="auto" w:fill="EDEDED"/>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3100" w:type="dxa"/>
            <w:vAlign w:val="bottom"/>
          </w:tcPr>
          <w:p>
            <w:pPr>
              <w:spacing w:after="0"/>
              <w:rPr>
                <w:sz w:val="20"/>
                <w:szCs w:val="20"/>
                <w:color w:val="auto"/>
              </w:rPr>
            </w:pPr>
            <w:r>
              <w:rPr>
                <w:rFonts w:ascii="Arial" w:cs="Arial" w:eastAsia="Arial" w:hAnsi="Arial"/>
                <w:sz w:val="18"/>
                <w:szCs w:val="18"/>
                <w:color w:val="auto"/>
              </w:rPr>
              <w:t>General Peter Pace</w:t>
            </w:r>
          </w:p>
        </w:tc>
        <w:tc>
          <w:tcPr>
            <w:tcW w:w="340" w:type="dxa"/>
            <w:vAlign w:val="bottom"/>
            <w:shd w:val="clear" w:color="auto" w:fill="EDEDED"/>
          </w:tcPr>
          <w:p>
            <w:pPr>
              <w:spacing w:after="0"/>
              <w:rPr>
                <w:sz w:val="24"/>
                <w:szCs w:val="24"/>
                <w:color w:val="auto"/>
              </w:rPr>
            </w:pPr>
          </w:p>
        </w:tc>
        <w:tc>
          <w:tcPr>
            <w:tcW w:w="920" w:type="dxa"/>
            <w:vAlign w:val="bottom"/>
            <w:shd w:val="clear" w:color="auto" w:fill="EDEDED"/>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2009</w:t>
            </w:r>
          </w:p>
        </w:tc>
        <w:tc>
          <w:tcPr>
            <w:tcW w:w="98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auto"/>
              </w:rPr>
              <w:t>77</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EDEDED"/>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100" w:type="dxa"/>
            <w:vAlign w:val="bottom"/>
            <w:tcBorders>
              <w:bottom w:val="single" w:sz="8" w:color="FF0C07"/>
            </w:tcBorders>
          </w:tcPr>
          <w:p>
            <w:pPr>
              <w:spacing w:after="0"/>
              <w:rPr>
                <w:sz w:val="14"/>
                <w:szCs w:val="14"/>
                <w:color w:val="auto"/>
              </w:rPr>
            </w:pPr>
          </w:p>
        </w:tc>
        <w:tc>
          <w:tcPr>
            <w:tcW w:w="340" w:type="dxa"/>
            <w:vAlign w:val="bottom"/>
            <w:tcBorders>
              <w:bottom w:val="single" w:sz="8" w:color="FF0C07"/>
            </w:tcBorders>
            <w:shd w:val="clear" w:color="auto" w:fill="EDEDED"/>
          </w:tcPr>
          <w:p>
            <w:pPr>
              <w:spacing w:after="0"/>
              <w:rPr>
                <w:sz w:val="14"/>
                <w:szCs w:val="14"/>
                <w:color w:val="auto"/>
              </w:rPr>
            </w:pPr>
          </w:p>
        </w:tc>
        <w:tc>
          <w:tcPr>
            <w:tcW w:w="920" w:type="dxa"/>
            <w:vAlign w:val="bottom"/>
            <w:tcBorders>
              <w:bottom w:val="single" w:sz="8" w:color="FF0C07"/>
            </w:tcBorders>
            <w:shd w:val="clear" w:color="auto" w:fill="EDEDED"/>
          </w:tcPr>
          <w:p>
            <w:pPr>
              <w:spacing w:after="0"/>
              <w:rPr>
                <w:sz w:val="14"/>
                <w:szCs w:val="14"/>
                <w:color w:val="auto"/>
              </w:rPr>
            </w:pPr>
          </w:p>
        </w:tc>
        <w:tc>
          <w:tcPr>
            <w:tcW w:w="940" w:type="dxa"/>
            <w:vAlign w:val="bottom"/>
            <w:tcBorders>
              <w:bottom w:val="single" w:sz="8" w:color="FF0C07"/>
            </w:tcBorders>
          </w:tcPr>
          <w:p>
            <w:pPr>
              <w:spacing w:after="0"/>
              <w:rPr>
                <w:sz w:val="14"/>
                <w:szCs w:val="14"/>
                <w:color w:val="auto"/>
              </w:rPr>
            </w:pPr>
          </w:p>
        </w:tc>
        <w:tc>
          <w:tcPr>
            <w:tcW w:w="340" w:type="dxa"/>
            <w:vAlign w:val="bottom"/>
            <w:tcBorders>
              <w:bottom w:val="single" w:sz="8" w:color="FF0C07"/>
            </w:tcBorders>
            <w:shd w:val="clear" w:color="auto" w:fill="EDEDED"/>
          </w:tcPr>
          <w:p>
            <w:pPr>
              <w:spacing w:after="0"/>
              <w:rPr>
                <w:sz w:val="14"/>
                <w:szCs w:val="14"/>
                <w:color w:val="auto"/>
              </w:rPr>
            </w:pPr>
          </w:p>
        </w:tc>
        <w:tc>
          <w:tcPr>
            <w:tcW w:w="640" w:type="dxa"/>
            <w:vAlign w:val="bottom"/>
            <w:tcBorders>
              <w:bottom w:val="single" w:sz="8" w:color="FF0C07"/>
            </w:tcBorders>
            <w:shd w:val="clear" w:color="auto" w:fill="EDEDED"/>
          </w:tcPr>
          <w:p>
            <w:pPr>
              <w:spacing w:after="0"/>
              <w:rPr>
                <w:sz w:val="14"/>
                <w:szCs w:val="14"/>
                <w:color w:val="auto"/>
              </w:rPr>
            </w:pPr>
          </w:p>
        </w:tc>
        <w:tc>
          <w:tcPr>
            <w:tcW w:w="1120" w:type="dxa"/>
            <w:vAlign w:val="bottom"/>
            <w:tcBorders>
              <w:bottom w:val="single" w:sz="8" w:color="FF0C07"/>
            </w:tcBorders>
          </w:tcPr>
          <w:p>
            <w:pPr>
              <w:spacing w:after="0"/>
              <w:rPr>
                <w:sz w:val="14"/>
                <w:szCs w:val="14"/>
                <w:color w:val="auto"/>
              </w:rPr>
            </w:pPr>
          </w:p>
        </w:tc>
        <w:tc>
          <w:tcPr>
            <w:tcW w:w="340" w:type="dxa"/>
            <w:vAlign w:val="bottom"/>
            <w:tcBorders>
              <w:bottom w:val="single" w:sz="8" w:color="FF0C07"/>
            </w:tcBorders>
            <w:shd w:val="clear" w:color="auto" w:fill="EDEDED"/>
          </w:tcPr>
          <w:p>
            <w:pPr>
              <w:spacing w:after="0"/>
              <w:rPr>
                <w:sz w:val="14"/>
                <w:szCs w:val="14"/>
                <w:color w:val="auto"/>
              </w:rPr>
            </w:pPr>
          </w:p>
        </w:tc>
        <w:tc>
          <w:tcPr>
            <w:tcW w:w="940" w:type="dxa"/>
            <w:vAlign w:val="bottom"/>
            <w:tcBorders>
              <w:bottom w:val="single" w:sz="8" w:color="FF0C07"/>
            </w:tcBorders>
            <w:shd w:val="clear" w:color="auto" w:fill="EDEDED"/>
          </w:tcPr>
          <w:p>
            <w:pPr>
              <w:spacing w:after="0"/>
              <w:rPr>
                <w:sz w:val="14"/>
                <w:szCs w:val="14"/>
                <w:color w:val="auto"/>
              </w:rPr>
            </w:pPr>
          </w:p>
        </w:tc>
        <w:tc>
          <w:tcPr>
            <w:tcW w:w="1360" w:type="dxa"/>
            <w:vAlign w:val="bottom"/>
            <w:tcBorders>
              <w:bottom w:val="single" w:sz="8" w:color="FF0C07"/>
            </w:tcBorders>
          </w:tcPr>
          <w:p>
            <w:pPr>
              <w:spacing w:after="0"/>
              <w:rPr>
                <w:sz w:val="14"/>
                <w:szCs w:val="14"/>
                <w:color w:val="auto"/>
              </w:rPr>
            </w:pPr>
          </w:p>
        </w:tc>
        <w:tc>
          <w:tcPr>
            <w:tcW w:w="980" w:type="dxa"/>
            <w:vAlign w:val="bottom"/>
            <w:tcBorders>
              <w:bottom w:val="single" w:sz="8" w:color="FF0C07"/>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-2648585</wp:posOffset>
            </wp:positionV>
            <wp:extent cx="16256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-2648585</wp:posOffset>
            </wp:positionV>
            <wp:extent cx="16319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195" cy="16256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-2416810</wp:posOffset>
            </wp:positionV>
            <wp:extent cx="16256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-1919605</wp:posOffset>
            </wp:positionV>
            <wp:extent cx="11176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760" cy="12001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-1602740</wp:posOffset>
            </wp:positionV>
            <wp:extent cx="11176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760" cy="12001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-248285</wp:posOffset>
            </wp:positionV>
            <wp:extent cx="11176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760" cy="12001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-290830</wp:posOffset>
            </wp:positionV>
            <wp:extent cx="16319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w:t>
      </w:r>
    </w:p>
    <w:p>
      <w:pPr>
        <w:spacing w:after="0" w:line="104"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Our board believes that a balance of director experience, diversity and tenure best enables our board to act as effective stewards for our investors. Accordingly, we strive to maintain a board that includes both longer tenured directors with historical institutional knowledge of our business and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96" w:right="439" w:bottom="1440" w:gutter="0" w:footer="0" w:header="0"/>
        </w:sectPr>
      </w:pPr>
    </w:p>
    <w:bookmarkStart w:id="11" w:name="page12"/>
    <w:bookmarkEnd w:id="11"/>
    <w:p>
      <w:pPr>
        <w:ind w:right="30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competitive environment as well as newer directors who provide fresh perspectives. Information regarding our directors as of April 20, 2023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126365</wp:posOffset>
            </wp:positionV>
            <wp:extent cx="4354830" cy="3686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54830"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Matrix (as of April 20, 2023)</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Given Sandra E. Bergeron’s retirement from the board on January 28, 2023, the Nominating and ESG Committee is striving to nominate an additional female board member, consistent with our board’s prior and ongoing diversity agenda.</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363"/>
        </w:trPr>
        <w:tc>
          <w:tcPr>
            <w:tcW w:w="9040" w:type="dxa"/>
            <w:vAlign w:val="bottom"/>
            <w:tcBorders>
              <w:top w:val="single" w:sz="8" w:color="auto"/>
              <w:left w:val="single" w:sz="8" w:color="auto"/>
              <w:right w:val="single" w:sz="8" w:color="auto"/>
            </w:tcBorders>
            <w:shd w:val="clear" w:color="auto" w:fill="FF0C07"/>
          </w:tcPr>
          <w:p>
            <w:pPr>
              <w:ind w:left="160"/>
              <w:spacing w:after="0"/>
              <w:rPr>
                <w:sz w:val="20"/>
                <w:szCs w:val="20"/>
                <w:color w:val="auto"/>
              </w:rPr>
            </w:pPr>
            <w:r>
              <w:rPr>
                <w:rFonts w:ascii="Arial" w:cs="Arial" w:eastAsia="Arial" w:hAnsi="Arial"/>
                <w:sz w:val="18"/>
                <w:szCs w:val="18"/>
                <w:b w:val="1"/>
                <w:bCs w:val="1"/>
                <w:color w:val="FFFFFF"/>
              </w:rPr>
              <w:t>Total Number of Directors</w:t>
            </w:r>
          </w:p>
        </w:tc>
        <w:tc>
          <w:tcPr>
            <w:tcW w:w="1040" w:type="dxa"/>
            <w:vAlign w:val="bottom"/>
            <w:tcBorders>
              <w:top w:val="single" w:sz="8" w:color="auto"/>
              <w:right w:val="single" w:sz="8" w:color="FF0C07"/>
            </w:tcBorders>
            <w:shd w:val="clear" w:color="auto" w:fill="FF0C07"/>
          </w:tcPr>
          <w:p>
            <w:pPr>
              <w:spacing w:after="0"/>
              <w:rPr>
                <w:sz w:val="24"/>
                <w:szCs w:val="24"/>
                <w:color w:val="auto"/>
              </w:rPr>
            </w:pPr>
          </w:p>
        </w:tc>
        <w:tc>
          <w:tcPr>
            <w:tcW w:w="840" w:type="dxa"/>
            <w:vAlign w:val="bottom"/>
            <w:tcBorders>
              <w:top w:val="single" w:sz="8" w:color="auto"/>
              <w:right w:val="single" w:sz="8" w:color="auto"/>
            </w:tcBorders>
            <w:shd w:val="clear" w:color="auto" w:fill="FF0C07"/>
          </w:tcPr>
          <w:p>
            <w:pPr>
              <w:jc w:val="right"/>
              <w:ind w:right="688"/>
              <w:spacing w:after="0"/>
              <w:rPr>
                <w:sz w:val="20"/>
                <w:szCs w:val="20"/>
                <w:color w:val="auto"/>
              </w:rPr>
            </w:pPr>
            <w:r>
              <w:rPr>
                <w:rFonts w:ascii="Arial" w:cs="Arial" w:eastAsia="Arial" w:hAnsi="Arial"/>
                <w:sz w:val="15"/>
                <w:szCs w:val="15"/>
                <w:b w:val="1"/>
                <w:bCs w:val="1"/>
                <w:color w:val="FFFFFF"/>
                <w:w w:val="71"/>
              </w:rPr>
              <w:t>7</w:t>
            </w:r>
          </w:p>
        </w:tc>
      </w:tr>
      <w:tr>
        <w:trPr>
          <w:trHeight w:val="110"/>
        </w:trPr>
        <w:tc>
          <w:tcPr>
            <w:tcW w:w="9040" w:type="dxa"/>
            <w:vAlign w:val="bottom"/>
            <w:tcBorders>
              <w:left w:val="single" w:sz="8" w:color="auto"/>
              <w:bottom w:val="single" w:sz="8" w:color="auto"/>
              <w:right w:val="single" w:sz="8" w:color="auto"/>
            </w:tcBorders>
            <w:shd w:val="clear" w:color="auto" w:fill="FF0C07"/>
          </w:tcPr>
          <w:p>
            <w:pPr>
              <w:spacing w:after="0"/>
              <w:rPr>
                <w:sz w:val="9"/>
                <w:szCs w:val="9"/>
                <w:color w:val="auto"/>
              </w:rPr>
            </w:pPr>
          </w:p>
        </w:tc>
        <w:tc>
          <w:tcPr>
            <w:tcW w:w="1040" w:type="dxa"/>
            <w:vAlign w:val="bottom"/>
            <w:tcBorders>
              <w:bottom w:val="single" w:sz="8" w:color="auto"/>
              <w:right w:val="single" w:sz="8" w:color="FF0C07"/>
            </w:tcBorders>
            <w:shd w:val="clear" w:color="auto" w:fill="FF0C07"/>
          </w:tcPr>
          <w:p>
            <w:pPr>
              <w:spacing w:after="0"/>
              <w:rPr>
                <w:sz w:val="9"/>
                <w:szCs w:val="9"/>
                <w:color w:val="auto"/>
              </w:rPr>
            </w:pPr>
          </w:p>
        </w:tc>
        <w:tc>
          <w:tcPr>
            <w:tcW w:w="840" w:type="dxa"/>
            <w:vAlign w:val="bottom"/>
            <w:tcBorders>
              <w:bottom w:val="single" w:sz="8" w:color="auto"/>
              <w:right w:val="single" w:sz="8" w:color="auto"/>
            </w:tcBorders>
            <w:shd w:val="clear" w:color="auto" w:fill="FF0C07"/>
          </w:tcPr>
          <w:p>
            <w:pPr>
              <w:spacing w:after="0"/>
              <w:rPr>
                <w:sz w:val="9"/>
                <w:szCs w:val="9"/>
                <w:color w:val="auto"/>
              </w:rPr>
            </w:pPr>
          </w:p>
        </w:tc>
      </w:tr>
      <w:tr>
        <w:trPr>
          <w:trHeight w:val="209"/>
        </w:trPr>
        <w:tc>
          <w:tcPr>
            <w:tcW w:w="9040" w:type="dxa"/>
            <w:vAlign w:val="bottom"/>
            <w:tcBorders>
              <w:left w:val="single" w:sz="8" w:color="auto"/>
              <w:bottom w:val="single" w:sz="8" w:color="auto"/>
              <w:right w:val="single" w:sz="8" w:color="auto"/>
            </w:tcBorders>
            <w:shd w:val="clear" w:color="auto" w:fill="567A9E"/>
          </w:tcPr>
          <w:p>
            <w:pPr>
              <w:ind w:left="160"/>
              <w:spacing w:after="0"/>
              <w:rPr>
                <w:sz w:val="20"/>
                <w:szCs w:val="20"/>
                <w:color w:val="auto"/>
              </w:rPr>
            </w:pPr>
            <w:r>
              <w:rPr>
                <w:rFonts w:ascii="Arial" w:cs="Arial" w:eastAsia="Arial" w:hAnsi="Arial"/>
                <w:sz w:val="14"/>
                <w:szCs w:val="14"/>
                <w:b w:val="1"/>
                <w:bCs w:val="1"/>
                <w:color w:val="FFFFFF"/>
              </w:rPr>
              <w:t>Gender Identity</w:t>
            </w:r>
          </w:p>
        </w:tc>
        <w:tc>
          <w:tcPr>
            <w:tcW w:w="1040" w:type="dxa"/>
            <w:vAlign w:val="bottom"/>
            <w:tcBorders>
              <w:bottom w:val="single" w:sz="8" w:color="auto"/>
              <w:right w:val="single" w:sz="8" w:color="auto"/>
            </w:tcBorders>
            <w:shd w:val="clear" w:color="auto" w:fill="567A9E"/>
          </w:tcPr>
          <w:p>
            <w:pPr>
              <w:jc w:val="right"/>
              <w:ind w:right="48"/>
              <w:spacing w:after="0"/>
              <w:rPr>
                <w:sz w:val="20"/>
                <w:szCs w:val="20"/>
                <w:color w:val="auto"/>
              </w:rPr>
            </w:pPr>
            <w:r>
              <w:rPr>
                <w:rFonts w:ascii="Arial" w:cs="Arial" w:eastAsia="Arial" w:hAnsi="Arial"/>
                <w:sz w:val="14"/>
                <w:szCs w:val="14"/>
                <w:b w:val="1"/>
                <w:bCs w:val="1"/>
                <w:color w:val="FFFFFF"/>
              </w:rPr>
              <w:t>Female</w:t>
            </w:r>
          </w:p>
        </w:tc>
        <w:tc>
          <w:tcPr>
            <w:tcW w:w="840" w:type="dxa"/>
            <w:vAlign w:val="bottom"/>
            <w:tcBorders>
              <w:bottom w:val="single" w:sz="8" w:color="auto"/>
              <w:right w:val="single" w:sz="8" w:color="auto"/>
            </w:tcBorders>
            <w:shd w:val="clear" w:color="auto" w:fill="567A9E"/>
          </w:tcPr>
          <w:p>
            <w:pPr>
              <w:jc w:val="center"/>
              <w:ind w:left="168"/>
              <w:spacing w:after="0"/>
              <w:rPr>
                <w:sz w:val="20"/>
                <w:szCs w:val="20"/>
                <w:color w:val="auto"/>
              </w:rPr>
            </w:pPr>
            <w:r>
              <w:rPr>
                <w:rFonts w:ascii="Arial" w:cs="Arial" w:eastAsia="Arial" w:hAnsi="Arial"/>
                <w:sz w:val="14"/>
                <w:szCs w:val="14"/>
                <w:b w:val="1"/>
                <w:bCs w:val="1"/>
                <w:color w:val="FFFFFF"/>
              </w:rPr>
              <w:t>Male</w:t>
            </w:r>
          </w:p>
        </w:tc>
      </w:tr>
      <w:tr>
        <w:trPr>
          <w:trHeight w:val="209"/>
        </w:trPr>
        <w:tc>
          <w:tcPr>
            <w:tcW w:w="9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Number of Directors based on Gender Identity</w:t>
            </w:r>
          </w:p>
        </w:tc>
        <w:tc>
          <w:tcPr>
            <w:tcW w:w="104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2</w:t>
            </w:r>
          </w:p>
        </w:tc>
        <w:tc>
          <w:tcPr>
            <w:tcW w:w="84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rPr>
              <w:t>5</w:t>
            </w:r>
          </w:p>
        </w:tc>
      </w:tr>
      <w:tr>
        <w:trPr>
          <w:trHeight w:val="210"/>
        </w:trPr>
        <w:tc>
          <w:tcPr>
            <w:tcW w:w="9040" w:type="dxa"/>
            <w:vAlign w:val="bottom"/>
            <w:tcBorders>
              <w:left w:val="single" w:sz="8" w:color="auto"/>
              <w:bottom w:val="single" w:sz="8" w:color="auto"/>
              <w:right w:val="single" w:sz="8" w:color="429BFF"/>
            </w:tcBorders>
            <w:shd w:val="clear" w:color="auto" w:fill="429BFF"/>
          </w:tcPr>
          <w:p>
            <w:pPr>
              <w:ind w:left="160"/>
              <w:spacing w:after="0"/>
              <w:rPr>
                <w:sz w:val="20"/>
                <w:szCs w:val="20"/>
                <w:color w:val="auto"/>
              </w:rPr>
            </w:pPr>
            <w:r>
              <w:rPr>
                <w:rFonts w:ascii="Arial" w:cs="Arial" w:eastAsia="Arial" w:hAnsi="Arial"/>
                <w:sz w:val="14"/>
                <w:szCs w:val="14"/>
                <w:b w:val="1"/>
                <w:bCs w:val="1"/>
                <w:color w:val="FFFFFF"/>
              </w:rPr>
              <w:t>Number of Directors who identify in any categories below:</w:t>
            </w:r>
          </w:p>
        </w:tc>
        <w:tc>
          <w:tcPr>
            <w:tcW w:w="1040" w:type="dxa"/>
            <w:vAlign w:val="bottom"/>
            <w:tcBorders>
              <w:bottom w:val="single" w:sz="8" w:color="auto"/>
              <w:right w:val="single" w:sz="8" w:color="429BFF"/>
            </w:tcBorders>
            <w:shd w:val="clear" w:color="auto" w:fill="429BFF"/>
          </w:tcPr>
          <w:p>
            <w:pPr>
              <w:spacing w:after="0"/>
              <w:rPr>
                <w:sz w:val="18"/>
                <w:szCs w:val="18"/>
                <w:color w:val="auto"/>
              </w:rPr>
            </w:pPr>
          </w:p>
        </w:tc>
        <w:tc>
          <w:tcPr>
            <w:tcW w:w="840" w:type="dxa"/>
            <w:vAlign w:val="bottom"/>
            <w:tcBorders>
              <w:bottom w:val="single" w:sz="8" w:color="auto"/>
              <w:right w:val="single" w:sz="8" w:color="auto"/>
            </w:tcBorders>
            <w:shd w:val="clear" w:color="auto" w:fill="429BFF"/>
          </w:tcPr>
          <w:p>
            <w:pPr>
              <w:spacing w:after="0"/>
              <w:rPr>
                <w:sz w:val="18"/>
                <w:szCs w:val="18"/>
                <w:color w:val="auto"/>
              </w:rPr>
            </w:pPr>
          </w:p>
        </w:tc>
      </w:tr>
      <w:tr>
        <w:trPr>
          <w:trHeight w:val="210"/>
        </w:trPr>
        <w:tc>
          <w:tcPr>
            <w:tcW w:w="9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Asian</w:t>
            </w:r>
          </w:p>
        </w:tc>
        <w:tc>
          <w:tcPr>
            <w:tcW w:w="104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rPr>
              <w:t>1</w:t>
            </w:r>
          </w:p>
        </w:tc>
      </w:tr>
      <w:tr>
        <w:trPr>
          <w:trHeight w:val="209"/>
        </w:trPr>
        <w:tc>
          <w:tcPr>
            <w:tcW w:w="9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White</w:t>
            </w:r>
          </w:p>
        </w:tc>
        <w:tc>
          <w:tcPr>
            <w:tcW w:w="104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2</w:t>
            </w:r>
          </w:p>
        </w:tc>
        <w:tc>
          <w:tcPr>
            <w:tcW w:w="84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rPr>
              <w:t>4</w:t>
            </w: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40" w:top="296" w:right="5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Board Skills and Experience Matrix</w:t>
      </w:r>
    </w:p>
    <w:p>
      <w:pPr>
        <w:spacing w:after="0" w:line="104" w:lineRule="exact"/>
        <w:rPr>
          <w:sz w:val="20"/>
          <w:szCs w:val="20"/>
          <w:color w:val="auto"/>
        </w:rPr>
      </w:pPr>
    </w:p>
    <w:p>
      <w:pPr>
        <w:ind w:right="260" w:firstLine="440"/>
        <w:spacing w:after="0" w:line="271" w:lineRule="auto"/>
        <w:rPr>
          <w:sz w:val="20"/>
          <w:szCs w:val="20"/>
          <w:color w:val="auto"/>
        </w:rPr>
      </w:pPr>
      <w:r>
        <w:rPr>
          <w:rFonts w:ascii="Arial" w:cs="Arial" w:eastAsia="Arial" w:hAnsi="Arial"/>
          <w:sz w:val="18"/>
          <w:szCs w:val="18"/>
          <w:color w:val="auto"/>
        </w:rPr>
        <w:t>The following graphic shows the number of our directors, as of April 20, 2023, who have experience in the areas that our board of directors believes are important to have represented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126365</wp:posOffset>
            </wp:positionV>
            <wp:extent cx="5212080" cy="4869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Director Nominees</w:t>
      </w:r>
    </w:p>
    <w:p>
      <w:pPr>
        <w:spacing w:after="0" w:line="104"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b w:val="1"/>
          <w:bCs w:val="1"/>
          <w:i w:val="1"/>
          <w:iCs w:val="1"/>
          <w:color w:val="auto"/>
        </w:rPr>
        <w:t xml:space="preserve">Wendy M. Pfeiffer </w:t>
      </w:r>
      <w:r>
        <w:rPr>
          <w:rFonts w:ascii="Arial" w:cs="Arial" w:eastAsia="Arial" w:hAnsi="Arial"/>
          <w:sz w:val="18"/>
          <w:szCs w:val="18"/>
          <w:color w:val="auto"/>
        </w:rPr>
        <w:t>has served as a director of Qualys since August 2019. Ms. Pfeiffer has served as a director of SADA Systems,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Google reseller and professional services company, since January 2020. Ms. Pfeiffer served as senior vice president and chief information officer of Nutanix, Inc., an enterprise cloud computing company, from January 17, 2017 until March 17, 2023. Previously, Ms. Pfeiffer served as chief information officer and vice president IT of GoPro, Inc., a maker of video and photo capture devices, from July 2015 to January 2017. Ms. Pfeiffer also served as senior director, IT shared services, of Robert Half International, a staffing and recruiting company, from February 2009</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96" w:right="479" w:bottom="1440" w:gutter="0" w:footer="0" w:header="0"/>
        </w:sectPr>
      </w:pPr>
    </w:p>
    <w:bookmarkStart w:id="13" w:name="page14"/>
    <w:bookmarkEnd w:id="13"/>
    <w:p>
      <w:pPr>
        <w:ind w:right="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to June 2015. Ms. Pfeiffer holds a Bachelor of Science degree in Business Administration, Financial Accounting and Technology, from the University of Phoenix.</w:t>
      </w:r>
    </w:p>
    <w:p>
      <w:pPr>
        <w:spacing w:after="0" w:line="154" w:lineRule="exact"/>
        <w:rPr>
          <w:sz w:val="20"/>
          <w:szCs w:val="20"/>
          <w:color w:val="auto"/>
        </w:rPr>
      </w:pPr>
    </w:p>
    <w:p>
      <w:pPr>
        <w:ind w:right="240" w:firstLine="440"/>
        <w:spacing w:after="0" w:line="271" w:lineRule="auto"/>
        <w:rPr>
          <w:sz w:val="20"/>
          <w:szCs w:val="20"/>
          <w:color w:val="auto"/>
        </w:rPr>
      </w:pPr>
      <w:r>
        <w:rPr>
          <w:rFonts w:ascii="Arial" w:cs="Arial" w:eastAsia="Arial" w:hAnsi="Arial"/>
          <w:sz w:val="18"/>
          <w:szCs w:val="18"/>
          <w:color w:val="auto"/>
        </w:rPr>
        <w:t>We believe that Ms. Pfeiffer possesses specific attributes that qualify her to serve as a member of our board of directors, including her experience serving as chief information officer at technology companies.</w:t>
      </w:r>
    </w:p>
    <w:p>
      <w:pPr>
        <w:spacing w:after="0" w:line="154" w:lineRule="exact"/>
        <w:rPr>
          <w:sz w:val="20"/>
          <w:szCs w:val="20"/>
          <w:color w:val="auto"/>
        </w:rPr>
      </w:pPr>
    </w:p>
    <w:p>
      <w:pPr>
        <w:ind w:right="20" w:firstLine="440"/>
        <w:spacing w:after="0" w:line="237" w:lineRule="auto"/>
        <w:rPr>
          <w:sz w:val="20"/>
          <w:szCs w:val="20"/>
          <w:color w:val="auto"/>
        </w:rPr>
      </w:pPr>
      <w:r>
        <w:rPr>
          <w:rFonts w:ascii="Arial" w:cs="Arial" w:eastAsia="Arial" w:hAnsi="Arial"/>
          <w:sz w:val="18"/>
          <w:szCs w:val="18"/>
          <w:b w:val="1"/>
          <w:bCs w:val="1"/>
          <w:i w:val="1"/>
          <w:iCs w:val="1"/>
          <w:color w:val="auto"/>
        </w:rPr>
        <w:t xml:space="preserve">John Zangardi </w:t>
      </w:r>
      <w:r>
        <w:rPr>
          <w:rFonts w:ascii="Arial" w:cs="Arial" w:eastAsia="Arial" w:hAnsi="Arial"/>
          <w:sz w:val="18"/>
          <w:szCs w:val="18"/>
          <w:color w:val="auto"/>
        </w:rPr>
        <w:t>has served as a director of Qualys since June 2020. Dr. Zangardi has served as Chief Executive Officer of Redhorse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 technology services company delivering decision quality data to federal government customers, since December 2021, and as President of Redhorse Corporation since June 2020. From November 2019 to May 2020, Dr. Zangardi served as Senior Vice President of Business Initiatives and Strategic Partnerships for the Civil Group at Leidos, Inc., a science, engineering and information technology company. From November 2017 to November 2019, Dr. Zangardi served as Chief Information Officer of the Department of Homeland Security, a presidentially appointed position, where he was responsible for overseeing IT and its related security and management for the Department. Prior to that, Dr. Zangardi first served as the Principal Deputy Chief Information Officer and later as the Acting Chief Information Officer of the Department of Defense, between October 2016 to November 2017. Dr. Zangardi also served as the Deputy Assistant Secretary of the Navy for Command, Control, Communications, Computers, Intelligence, Information Operations &amp; Space from March 2011 to September 2016. Dr. Zangardi also served additionally as the Department of Navy CIO from 2014 to 2015. A retired Naval Flight Officer, Dr. Zangardi served in a variety of command and staff assignments during his military career. Dr. Zangardi also currently serves on the board of directors of Forcepoint, a privately held software company, and Symetrica, a privately held radiation detection company. Dr. Zangardi holds a Bachelor of Science degree in Business Administration from the University of Scranton, a Master of Science degree in Finance from the Naval Postgraduate School, and a Doctor of Philosophy degree in Public Policy from George Mason University.</w:t>
      </w:r>
    </w:p>
    <w:p>
      <w:pPr>
        <w:spacing w:after="0" w:line="188"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We believe that Dr. Zangardi possesses specific attributes that qualify him to serve as a member of our board of directors, including his experience as chief information officer for departments of the federal government and his background in the U.S. military and executive experience at technology companies.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Continuing Directors</w:t>
      </w:r>
    </w:p>
    <w:p>
      <w:pPr>
        <w:spacing w:after="0" w:line="104"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b w:val="1"/>
          <w:bCs w:val="1"/>
          <w:i w:val="1"/>
          <w:iCs w:val="1"/>
          <w:color w:val="auto"/>
        </w:rPr>
        <w:t xml:space="preserve">William Berutti </w:t>
      </w:r>
      <w:r>
        <w:rPr>
          <w:rFonts w:ascii="Arial" w:cs="Arial" w:eastAsia="Arial" w:hAnsi="Arial"/>
          <w:sz w:val="18"/>
          <w:szCs w:val="18"/>
          <w:color w:val="auto"/>
        </w:rPr>
        <w:t>has served as a director of Qualys since November 2021. Mr. Berutti served as Chief Executive Officer of 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Inc., a cloud manufacturing software company, from November 2018 to November 2021. From October 2016 to November 2018, Mr. Berutti served as President of multiple operating units within BMC Software, an enterprise software company. Mr. Berutti also currently serves, and has served, on the boards of directors of multiple private companies. Mr. Berutti holds a Bachelor of Science degree in Business from Miami University.</w:t>
      </w:r>
    </w:p>
    <w:p>
      <w:pPr>
        <w:spacing w:after="0" w:line="176" w:lineRule="exact"/>
        <w:rPr>
          <w:sz w:val="20"/>
          <w:szCs w:val="20"/>
          <w:color w:val="auto"/>
        </w:rPr>
      </w:pPr>
    </w:p>
    <w:p>
      <w:pPr>
        <w:ind w:right="20" w:firstLine="440"/>
        <w:spacing w:after="0" w:line="271" w:lineRule="auto"/>
        <w:rPr>
          <w:sz w:val="20"/>
          <w:szCs w:val="20"/>
          <w:color w:val="auto"/>
        </w:rPr>
      </w:pPr>
      <w:r>
        <w:rPr>
          <w:rFonts w:ascii="Arial" w:cs="Arial" w:eastAsia="Arial" w:hAnsi="Arial"/>
          <w:sz w:val="18"/>
          <w:szCs w:val="18"/>
          <w:color w:val="auto"/>
        </w:rPr>
        <w:t>We believe that Mr. Berutti possesses specific attributes that qualify him to serve as a member of our board of directors, including his executive experience at technology companies.</w:t>
      </w:r>
    </w:p>
    <w:p>
      <w:pPr>
        <w:spacing w:after="0" w:line="154" w:lineRule="exact"/>
        <w:rPr>
          <w:sz w:val="20"/>
          <w:szCs w:val="20"/>
          <w:color w:val="auto"/>
        </w:rPr>
      </w:pPr>
    </w:p>
    <w:p>
      <w:pPr>
        <w:ind w:right="160" w:firstLine="440"/>
        <w:spacing w:after="0" w:line="242" w:lineRule="auto"/>
        <w:rPr>
          <w:sz w:val="20"/>
          <w:szCs w:val="20"/>
          <w:color w:val="auto"/>
        </w:rPr>
      </w:pPr>
      <w:r>
        <w:rPr>
          <w:rFonts w:ascii="Arial" w:cs="Arial" w:eastAsia="Arial" w:hAnsi="Arial"/>
          <w:sz w:val="18"/>
          <w:szCs w:val="18"/>
          <w:b w:val="1"/>
          <w:bCs w:val="1"/>
          <w:i w:val="1"/>
          <w:iCs w:val="1"/>
          <w:color w:val="auto"/>
        </w:rPr>
        <w:t xml:space="preserve">Jeffrey P. Hank </w:t>
      </w:r>
      <w:r>
        <w:rPr>
          <w:rFonts w:ascii="Arial" w:cs="Arial" w:eastAsia="Arial" w:hAnsi="Arial"/>
          <w:sz w:val="18"/>
          <w:szCs w:val="18"/>
          <w:color w:val="auto"/>
        </w:rPr>
        <w:t>has served as a director of Qualys since January 2010, including as Chair of the Board since January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Hank currently serves as the chairman of the board of directors for First Tech Federal Credit Union. From June 2005 to July 2012, Mr. Hank was the Vice President, Chief Accounting Officer and Corporate Controller of Intuit, Inc., and Mr. Hank served as the Vice President of Finance and Chief Accounting Officer of Intuit from July 2012 until September 2013. From June 2002 until September 2003, Mr. Hank was an audit partner at KPMG LLP. From September 1994 until June 2002, Mr. Hank was an audit partner at Arthur Andersen LLP. Mr. Hank holds a Bachelor of Science degree in Business Administration from the University of California at Berkeley.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96" w:right="459" w:bottom="1440" w:gutter="0" w:footer="0" w:header="0"/>
        </w:sectPr>
      </w:pPr>
    </w:p>
    <w:bookmarkStart w:id="14" w:name="page15"/>
    <w:bookmarkEnd w:id="14"/>
    <w:p>
      <w:pPr>
        <w:ind w:right="120" w:firstLine="4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believe that Mr. Hank possesses specific attributes that qualify him to serve as a member of our board of directors, including his experience as an executive at a technology company and his background in the accounting industry.</w:t>
      </w:r>
    </w:p>
    <w:p>
      <w:pPr>
        <w:spacing w:after="0" w:line="154"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b w:val="1"/>
          <w:bCs w:val="1"/>
          <w:i w:val="1"/>
          <w:iCs w:val="1"/>
          <w:color w:val="auto"/>
        </w:rPr>
        <w:t xml:space="preserve">Kristi M. Rogers </w:t>
      </w:r>
      <w:r>
        <w:rPr>
          <w:rFonts w:ascii="Arial" w:cs="Arial" w:eastAsia="Arial" w:hAnsi="Arial"/>
          <w:sz w:val="18"/>
          <w:szCs w:val="18"/>
          <w:color w:val="auto"/>
        </w:rPr>
        <w:t>has served as a director of Qualys since August 2013. Ms. Rogers is currently co-founder and Managing Partner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Principal to Principal. From March 2014 to December 2016, Ms. Rogers served as Managing Director, Chief Executive Officer and member of the board of directors of Aspen Healthcare Services, LLC. From 2012 to 2014, Ms. Rogers also served on the board of directors of Aspen Medical USA. From August 2006 to January 2013, Ms. Rogers served in various positions, including Executive Vice President, President, Chief Executive Officer and Vice Chairman of the Board, at Aegis Defense Services LLC, a provider of security and support services to the U.S. government. Ms. Rogers also currently serves on the board of directors of Business Executives for National Security and is co-chair of the board of directors of Women’s Foreign Policy Group, both non-profit organizations. She serves on the board of directors of NowSecure, a private company providing mobile app security. Ms. Rogers holds a Bachelor of Science degree in Political Science from Michigan State University and a Certificate for Cyber Security Risk Oversight from Carnegie Mellon University, and she graduated from Stanford’s Graduate School of Business Executive Education &amp; Corporate Governance Program.</w:t>
      </w:r>
    </w:p>
    <w:p>
      <w:pPr>
        <w:spacing w:after="0" w:line="180" w:lineRule="exact"/>
        <w:rPr>
          <w:sz w:val="20"/>
          <w:szCs w:val="20"/>
          <w:color w:val="auto"/>
        </w:rPr>
      </w:pPr>
    </w:p>
    <w:p>
      <w:pPr>
        <w:ind w:right="220" w:firstLine="440"/>
        <w:spacing w:after="0" w:line="271" w:lineRule="auto"/>
        <w:rPr>
          <w:sz w:val="20"/>
          <w:szCs w:val="20"/>
          <w:color w:val="auto"/>
        </w:rPr>
      </w:pPr>
      <w:r>
        <w:rPr>
          <w:rFonts w:ascii="Arial" w:cs="Arial" w:eastAsia="Arial" w:hAnsi="Arial"/>
          <w:sz w:val="18"/>
          <w:szCs w:val="18"/>
          <w:color w:val="auto"/>
        </w:rPr>
        <w:t>We believe that Ms. Rogers possesses specific attributes that qualify her to serve as a member of our board of directors, including her executive experience and her expertise in the public service sector.</w:t>
      </w:r>
    </w:p>
    <w:p>
      <w:pPr>
        <w:spacing w:after="0" w:line="154" w:lineRule="exact"/>
        <w:rPr>
          <w:sz w:val="20"/>
          <w:szCs w:val="20"/>
          <w:color w:val="auto"/>
        </w:rPr>
      </w:pPr>
    </w:p>
    <w:p>
      <w:pPr>
        <w:ind w:right="100" w:firstLine="440"/>
        <w:spacing w:after="0" w:line="244" w:lineRule="auto"/>
        <w:rPr>
          <w:sz w:val="20"/>
          <w:szCs w:val="20"/>
          <w:color w:val="auto"/>
        </w:rPr>
      </w:pPr>
      <w:r>
        <w:rPr>
          <w:rFonts w:ascii="Arial" w:cs="Arial" w:eastAsia="Arial" w:hAnsi="Arial"/>
          <w:sz w:val="18"/>
          <w:szCs w:val="18"/>
          <w:b w:val="1"/>
          <w:bCs w:val="1"/>
          <w:i w:val="1"/>
          <w:iCs w:val="1"/>
          <w:color w:val="auto"/>
        </w:rPr>
        <w:t xml:space="preserve">Sumedh S. Thakar </w:t>
      </w:r>
      <w:r>
        <w:rPr>
          <w:rFonts w:ascii="Arial" w:cs="Arial" w:eastAsia="Arial" w:hAnsi="Arial"/>
          <w:sz w:val="18"/>
          <w:szCs w:val="18"/>
          <w:color w:val="auto"/>
        </w:rPr>
        <w:t>has served as a director of Qualys since February 2021, as our Chief Executive Officer since April 2021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President since October 2019. Mr. Thakar previously served as our interim Chief Executive Officer from February 2021 to April 2021, and as our Chief Product Officer from June 2014 to April 2021. Mr. Thakar joined us in February 2003 and has held various positions with us since that time, including Principal Engineer, Engineering Manager, Director of Engineering, and Vice President, Engineering. Mr. Thakar holds a Bachelor of Computer Science degree from the University of Pune, India.</w:t>
      </w:r>
    </w:p>
    <w:p>
      <w:pPr>
        <w:spacing w:after="0" w:line="176" w:lineRule="exact"/>
        <w:rPr>
          <w:sz w:val="20"/>
          <w:szCs w:val="20"/>
          <w:color w:val="auto"/>
        </w:rPr>
      </w:pPr>
    </w:p>
    <w:p>
      <w:pPr>
        <w:ind w:right="260" w:firstLine="440"/>
        <w:spacing w:after="0" w:line="271" w:lineRule="auto"/>
        <w:rPr>
          <w:sz w:val="20"/>
          <w:szCs w:val="20"/>
          <w:color w:val="auto"/>
        </w:rPr>
      </w:pPr>
      <w:r>
        <w:rPr>
          <w:rFonts w:ascii="Arial" w:cs="Arial" w:eastAsia="Arial" w:hAnsi="Arial"/>
          <w:sz w:val="18"/>
          <w:szCs w:val="18"/>
          <w:color w:val="auto"/>
        </w:rPr>
        <w:t>We believe that Mr. Thakar possesses specific attributes that qualify him to serve as a member of our board of directors, including his experience as our President and Chief Product Officer and his knowledge of our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Our Retiring Director</w:t>
      </w:r>
    </w:p>
    <w:p>
      <w:pPr>
        <w:spacing w:after="0" w:line="104"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b w:val="1"/>
          <w:bCs w:val="1"/>
          <w:i w:val="1"/>
          <w:iCs w:val="1"/>
          <w:color w:val="auto"/>
        </w:rPr>
        <w:t xml:space="preserve">General Peter Pace </w:t>
      </w:r>
      <w:r>
        <w:rPr>
          <w:rFonts w:ascii="Arial" w:cs="Arial" w:eastAsia="Arial" w:hAnsi="Arial"/>
          <w:sz w:val="18"/>
          <w:szCs w:val="18"/>
          <w:color w:val="auto"/>
        </w:rPr>
        <w:t>has served as a director of Qualys since May 2009. From June 1967 until October 2007, Gen. Pace served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United States Marine Corps, including as Chairman of the Joint Chiefs of Staff. Since October 2007, Gen. Pace has been a principal at Pace Ventures LLC. Gen. Pace currently serves on the board of directors of AAR Corp. Gen. Pace previously served on the board of directors of Rigetti Computing, Inc. from June 2017 until July 2022, the board of directors of Pike Corporation from February 2010 until it was taken private in December 2014, on the board of directors of LaserLock Technologies, Inc. from November 2012 to February 2014, and on the board of directors of Textura Corp. from December 2012 until its acquisition by Oracle in June 2016. From January 2003 to January 2011, Gen. Pace served on the board of directors of Steve Myers and Associates Inc., and from June 2010 to June 2013, Gen. Pace served on the board of directors of Wi2Wi Inc. Gen. Pace also currently serves on the boards of directors of several private companies and previously served on the President’s Intelligence Advisory Board and Secretary of Defense’s Defense Policy Board. Gen. Pace holds a Bachelor of Science degree from the U.S. Naval Academy and a Master of Science degree in Business Administration from The George Washington University.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96" w:right="459" w:bottom="1440" w:gutter="0" w:footer="0" w:header="0"/>
        </w:sectPr>
      </w:pPr>
    </w:p>
    <w:bookmarkStart w:id="15" w:name="page16"/>
    <w:bookmarkEnd w:id="1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General Pace will be retiring from our board of directors following the Annual Meeting, and we thank him for his service as a director.</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4" w:lineRule="exact"/>
        <w:rPr>
          <w:sz w:val="20"/>
          <w:szCs w:val="20"/>
          <w:color w:val="auto"/>
        </w:rPr>
      </w:pPr>
    </w:p>
    <w:p>
      <w:pPr>
        <w:ind w:right="100" w:firstLine="440"/>
        <w:spacing w:after="0"/>
        <w:rPr>
          <w:sz w:val="20"/>
          <w:szCs w:val="20"/>
          <w:color w:val="auto"/>
        </w:rPr>
      </w:pPr>
      <w:r>
        <w:rPr>
          <w:rFonts w:ascii="Arial" w:cs="Arial" w:eastAsia="Arial" w:hAnsi="Arial"/>
          <w:sz w:val="18"/>
          <w:szCs w:val="18"/>
          <w:color w:val="auto"/>
        </w:rPr>
        <w:t>Our board of directors has reviewed the independence of each director. Based on information provided by each director concerning his or her background, employment and affiliations, our board of directors has determined that each of Mr. Berutti, Mr. Hank, Gen. Pace, Ms. Pfeiffer, Ms. Rogers and Dr. Zangardi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Rules (the “Nasdaq Listing Rules”) of The Nasdaq Stock Market LLC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Chair of the Board</w:t>
      </w:r>
    </w:p>
    <w:p>
      <w:pPr>
        <w:spacing w:after="0" w:line="104" w:lineRule="exact"/>
        <w:rPr>
          <w:sz w:val="20"/>
          <w:szCs w:val="20"/>
          <w:color w:val="auto"/>
        </w:rPr>
      </w:pPr>
    </w:p>
    <w:p>
      <w:pPr>
        <w:ind w:right="420" w:firstLine="440"/>
        <w:spacing w:after="0" w:line="259" w:lineRule="auto"/>
        <w:rPr>
          <w:sz w:val="20"/>
          <w:szCs w:val="20"/>
          <w:color w:val="auto"/>
        </w:rPr>
      </w:pPr>
      <w:r>
        <w:rPr>
          <w:rFonts w:ascii="Arial" w:cs="Arial" w:eastAsia="Arial" w:hAnsi="Arial"/>
          <w:sz w:val="17"/>
          <w:szCs w:val="17"/>
          <w:color w:val="auto"/>
        </w:rPr>
        <w:t>Our board of directors does not have a policy on whether the roles of Chairperson of our board of directors and Chief Executive Officer should be separate. Our board believes it should be free to determine what is best for the Company at a given point in time.</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Mr. Hank, an independent, non-employee director, has served as Chair of the Board since January 2023. Our board has determined that the separation of the roles of Chair of the Board and Chief Executive Officer is appropriate at this time, as it allows our Chief Executive Officer to focus primarily on management responsibilities and corporate strategy, while allowing the Chair to focus on leadership of the board, providing feedback and advice to the Chief Executive Officer, and providing a channel of communication between board members and our Chief Executive Officer. Our board currently does not have a lead independent director because the Chair is an independent director.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04"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During the year ended December 31, 2022, our board of directors held 4 meetings (including regularly scheduled and special meetings), our Audit and Risk Committee held 8 meetings, our Compensation and Talent Committee held 4 meetings, and our Nominating and ESG Committee held 5 meetings. Each incumbent director attended at least 75% of the total number of meetings of our board of directors and the committees of which he or she was a member during 2022.</w:t>
      </w:r>
    </w:p>
    <w:p>
      <w:pPr>
        <w:spacing w:after="0" w:line="174" w:lineRule="exact"/>
        <w:rPr>
          <w:sz w:val="20"/>
          <w:szCs w:val="20"/>
          <w:color w:val="auto"/>
        </w:rPr>
      </w:pPr>
    </w:p>
    <w:p>
      <w:pPr>
        <w:ind w:right="600" w:firstLine="440"/>
        <w:spacing w:after="0" w:line="253"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encourage, but do not require, directors to attend. Mr. Berutti, Mr. Hank, Ms. Pfeiffer, Ms. Rogers, Mr. Thakar and Dr. Zangardi, representing six of our then current eight directors, attended our 2022 annual meeting of stockholders.</w:t>
      </w:r>
    </w:p>
    <w:p>
      <w:pPr>
        <w:spacing w:after="0" w:line="169" w:lineRule="exact"/>
        <w:rPr>
          <w:sz w:val="20"/>
          <w:szCs w:val="20"/>
          <w:color w:val="auto"/>
        </w:rPr>
      </w:pPr>
    </w:p>
    <w:p>
      <w:pPr>
        <w:ind w:right="80" w:firstLine="440"/>
        <w:spacing w:after="0" w:line="253" w:lineRule="auto"/>
        <w:rPr>
          <w:sz w:val="20"/>
          <w:szCs w:val="20"/>
          <w:color w:val="auto"/>
        </w:rPr>
      </w:pPr>
      <w:r>
        <w:rPr>
          <w:rFonts w:ascii="Arial" w:cs="Arial" w:eastAsia="Arial" w:hAnsi="Arial"/>
          <w:sz w:val="18"/>
          <w:szCs w:val="18"/>
          <w:color w:val="auto"/>
        </w:rPr>
        <w:t>Our board of directors has three standing committees: an Audit and Risk Committee, a Compensation and Talent Committee, and a Nominating and ESG Committee. The composition and responsibilities of each of these committees is described below. Members serve on these committees until their resignation or until otherwise determined by our board of directors.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02" w:lineRule="exact"/>
        <w:rPr>
          <w:sz w:val="20"/>
          <w:szCs w:val="20"/>
          <w:color w:val="auto"/>
        </w:rPr>
      </w:pPr>
    </w:p>
    <w:p>
      <w:pPr>
        <w:ind w:right="380" w:firstLine="440"/>
        <w:spacing w:after="0" w:line="271" w:lineRule="auto"/>
        <w:rPr>
          <w:sz w:val="20"/>
          <w:szCs w:val="20"/>
          <w:color w:val="auto"/>
        </w:rPr>
      </w:pPr>
      <w:r>
        <w:rPr>
          <w:rFonts w:ascii="Arial" w:cs="Arial" w:eastAsia="Arial" w:hAnsi="Arial"/>
          <w:sz w:val="18"/>
          <w:szCs w:val="18"/>
          <w:color w:val="auto"/>
        </w:rPr>
        <w:t>Our Audit and Risk Committee consists of Mr. Hank, Ms. Pfeiffer and Dr. Zangardi, with Mr. Hank serving as Chair. Our board of directors has determined that all members of the Audit and Risk</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96" w:right="499" w:bottom="1440" w:gutter="0" w:footer="0" w:header="0"/>
        </w:sectPr>
      </w:pPr>
    </w:p>
    <w:bookmarkStart w:id="16" w:name="page17"/>
    <w:bookmarkEnd w:id="1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Committee (i) are independent under the Nasdaq Listing Rules and Rule 10A-3(b)(1) of the Exchange Act, and (ii) meet Nasdaq’s financial knowledge and sophistication requirements. In addition, our board of directors has determined that Mr. Hank is an audit committee financial expert within the meaning of the rules and regulations of the SEC. Among other responsibilities, our Audit and Risk Committee:</w:t>
      </w:r>
    </w:p>
    <w:p>
      <w:pPr>
        <w:spacing w:after="0" w:line="57" w:lineRule="exact"/>
        <w:rPr>
          <w:sz w:val="20"/>
          <w:szCs w:val="20"/>
          <w:color w:val="auto"/>
        </w:rPr>
      </w:pPr>
    </w:p>
    <w:p>
      <w:pPr>
        <w:ind w:left="960" w:right="900" w:hanging="424"/>
        <w:spacing w:after="0" w:line="271"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selects and hires a qualified firm to serve as the independent registered public accounting firm to audit our financial statements;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helps to ensure the independence and performance of the independent registered public accounting firm;</w:t>
      </w:r>
    </w:p>
    <w:p>
      <w:pPr>
        <w:spacing w:after="0" w:line="117" w:lineRule="exact"/>
        <w:rPr>
          <w:rFonts w:ascii="Arial" w:cs="Arial" w:eastAsia="Arial" w:hAnsi="Arial"/>
          <w:sz w:val="18"/>
          <w:szCs w:val="18"/>
          <w:color w:val="auto"/>
        </w:rPr>
      </w:pPr>
    </w:p>
    <w:p>
      <w:pPr>
        <w:ind w:left="960" w:right="720" w:hanging="424"/>
        <w:spacing w:after="0" w:line="271"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discusses the scope and results of the audit with the independent registered public accounting firm, and reviews, with management and the independent accountants, our interim and year-end operating results;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oversees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960" w:right="400" w:hanging="424"/>
        <w:spacing w:after="0" w:line="25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our policies on risk assessment and risk management pertaining to financial, accounting, insurance coverage, investment, tax, and operational infrastructure, including security, data privacy, reliability, business continuity and capacity matters;</w:t>
      </w:r>
    </w:p>
    <w:p>
      <w:pPr>
        <w:spacing w:after="0" w:line="74"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related party transactions;</w:t>
      </w:r>
    </w:p>
    <w:p>
      <w:pPr>
        <w:spacing w:after="0" w:line="117" w:lineRule="exact"/>
        <w:rPr>
          <w:rFonts w:ascii="Arial" w:cs="Arial" w:eastAsia="Arial" w:hAnsi="Arial"/>
          <w:sz w:val="18"/>
          <w:szCs w:val="18"/>
          <w:color w:val="auto"/>
        </w:rPr>
      </w:pPr>
    </w:p>
    <w:p>
      <w:pPr>
        <w:ind w:left="960" w:right="40" w:hanging="424"/>
        <w:spacing w:after="0" w:line="301"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obtains and reviews a report by the independent registered public accounting firm at least annually, that describes our internal quality-control procedures, any material issues with such procedures, and any steps taken to deal with such issues; and</w:t>
      </w:r>
    </w:p>
    <w:p>
      <w:pPr>
        <w:spacing w:after="0" w:line="36" w:lineRule="exact"/>
        <w:rPr>
          <w:rFonts w:ascii="Arial" w:cs="Arial" w:eastAsia="Arial" w:hAnsi="Arial"/>
          <w:sz w:val="17"/>
          <w:szCs w:val="17"/>
          <w:color w:val="auto"/>
        </w:rPr>
      </w:pPr>
    </w:p>
    <w:p>
      <w:pPr>
        <w:ind w:left="960" w:right="380" w:hanging="424"/>
        <w:spacing w:after="0" w:line="271"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approves (or, as permitted, pre-approves) all audit and all permissible non-audit services, other than de minimis non-audit services, to be performed by the independent registered public accounting firm.</w:t>
      </w:r>
    </w:p>
    <w:p>
      <w:pPr>
        <w:spacing w:after="0" w:line="154" w:lineRule="exact"/>
        <w:rPr>
          <w:sz w:val="20"/>
          <w:szCs w:val="20"/>
          <w:color w:val="auto"/>
        </w:rPr>
      </w:pPr>
    </w:p>
    <w:p>
      <w:pPr>
        <w:ind w:right="180" w:firstLine="440"/>
        <w:spacing w:after="0" w:line="253" w:lineRule="auto"/>
        <w:rPr>
          <w:sz w:val="20"/>
          <w:szCs w:val="20"/>
          <w:color w:val="auto"/>
        </w:rPr>
      </w:pPr>
      <w:r>
        <w:rPr>
          <w:rFonts w:ascii="Arial" w:cs="Arial" w:eastAsia="Arial" w:hAnsi="Arial"/>
          <w:sz w:val="18"/>
          <w:szCs w:val="18"/>
          <w:color w:val="auto"/>
        </w:rPr>
        <w:t>Our Audit and Risk Committee operates under a written charter that was adopted by our board of directors and satisfies the applicable rules of the SEC and the Nasdaq Listing Rules. A copy of the Audit and Risk Committee charter is available on our website at http://investor.qualys.com.</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and Talent Committee</w:t>
      </w:r>
    </w:p>
    <w:p>
      <w:pPr>
        <w:spacing w:after="0" w:line="102" w:lineRule="exact"/>
        <w:rPr>
          <w:sz w:val="20"/>
          <w:szCs w:val="20"/>
          <w:color w:val="auto"/>
        </w:rPr>
      </w:pPr>
    </w:p>
    <w:p>
      <w:pPr>
        <w:ind w:right="40" w:firstLine="440"/>
        <w:spacing w:after="0" w:line="247" w:lineRule="auto"/>
        <w:rPr>
          <w:sz w:val="20"/>
          <w:szCs w:val="20"/>
          <w:color w:val="auto"/>
        </w:rPr>
      </w:pPr>
      <w:r>
        <w:rPr>
          <w:rFonts w:ascii="Arial" w:cs="Arial" w:eastAsia="Arial" w:hAnsi="Arial"/>
          <w:sz w:val="18"/>
          <w:szCs w:val="18"/>
          <w:color w:val="auto"/>
        </w:rPr>
        <w:t>Our Compensation and Talent Committee consists of Mr. Berutti, Gen. Pace, Ms. Rogers and Dr. Zangardi, with Dr. Zangardi serving as Chair. Our board of directors has determined that all members of the Compensation and Talent Committee (i) are independent under the Nasdaq Listing Rules, and (ii) are “non-employee directors”, as defined in Rule 16b-3 promulgated under the Exchange Act. Among other responsibilities, our Compensation and Talent Committee:</w:t>
      </w:r>
    </w:p>
    <w:p>
      <w:pPr>
        <w:spacing w:after="0" w:line="79" w:lineRule="exact"/>
        <w:rPr>
          <w:sz w:val="20"/>
          <w:szCs w:val="20"/>
          <w:color w:val="auto"/>
        </w:rPr>
      </w:pPr>
    </w:p>
    <w:p>
      <w:pPr>
        <w:ind w:left="960" w:right="180" w:hanging="424"/>
        <w:spacing w:after="0" w:line="271"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approves and determines, or makes recommendations to our board of directors regarding, the compensation of our executive officers;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administers our stock and equity incentive plans;</w:t>
      </w:r>
    </w:p>
    <w:p>
      <w:pPr>
        <w:spacing w:after="0" w:line="117" w:lineRule="exact"/>
        <w:rPr>
          <w:rFonts w:ascii="Arial" w:cs="Arial" w:eastAsia="Arial" w:hAnsi="Arial"/>
          <w:sz w:val="18"/>
          <w:szCs w:val="18"/>
          <w:color w:val="auto"/>
        </w:rPr>
      </w:pPr>
    </w:p>
    <w:p>
      <w:pPr>
        <w:ind w:left="960" w:right="300" w:hanging="424"/>
        <w:spacing w:after="0" w:line="271"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and approves and makes recommendations to our board of directors regarding incentive compensation and equity plans;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establishes and reviews general policies relating to compensation and benefits of our employees;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our succession planning process for members of our executive management team; and</w:t>
      </w:r>
    </w:p>
    <w:p>
      <w:pPr>
        <w:spacing w:after="0" w:line="117" w:lineRule="exact"/>
        <w:rPr>
          <w:rFonts w:ascii="Arial" w:cs="Arial" w:eastAsia="Arial" w:hAnsi="Arial"/>
          <w:sz w:val="18"/>
          <w:szCs w:val="18"/>
          <w:color w:val="auto"/>
        </w:rPr>
      </w:pPr>
    </w:p>
    <w:p>
      <w:pPr>
        <w:ind w:left="960" w:right="640" w:hanging="424"/>
        <w:spacing w:after="0" w:line="271"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discharges the responsibilities of our board of directors relating to the development and implementation of policies and strategies regarding talent diversity and inclusion.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96" w:right="459" w:bottom="1440" w:gutter="0" w:footer="0" w:header="0"/>
        </w:sectPr>
      </w:pPr>
    </w:p>
    <w:bookmarkStart w:id="17" w:name="page18"/>
    <w:bookmarkEnd w:id="17"/>
    <w:p>
      <w:pPr>
        <w:jc w:val="both"/>
        <w:ind w:right="14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Compensation and Talent Committee operates under a written charter that was adopted by our board of directors and satisfies the applicable rules of the SEC and the Nasdaq Listing Rules. A copy of the Compensation and Talent Committee charter is available on our website at http://investor.qualys.com.</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and ESG Committee</w:t>
      </w:r>
    </w:p>
    <w:p>
      <w:pPr>
        <w:spacing w:after="0" w:line="102" w:lineRule="exact"/>
        <w:rPr>
          <w:sz w:val="20"/>
          <w:szCs w:val="20"/>
          <w:color w:val="auto"/>
        </w:rPr>
      </w:pPr>
    </w:p>
    <w:p>
      <w:pPr>
        <w:jc w:val="both"/>
        <w:ind w:right="300" w:firstLine="440"/>
        <w:spacing w:after="0" w:line="253" w:lineRule="auto"/>
        <w:rPr>
          <w:sz w:val="20"/>
          <w:szCs w:val="20"/>
          <w:color w:val="auto"/>
        </w:rPr>
      </w:pPr>
      <w:r>
        <w:rPr>
          <w:rFonts w:ascii="Arial" w:cs="Arial" w:eastAsia="Arial" w:hAnsi="Arial"/>
          <w:sz w:val="18"/>
          <w:szCs w:val="18"/>
          <w:color w:val="auto"/>
        </w:rPr>
        <w:t>Our Nominating and ESG Committee consists of Gen. Pace, Ms. Pfeiffer and Ms. Rogers, with Ms. Rogers serving as Chair. Our board of directors has determined that all members of the Nominating and ESG Committee are independent under the Nasdaq Listing Rules. Among other responsibilities, our Nominating and ESG Committee:</w:t>
      </w:r>
    </w:p>
    <w:p>
      <w:pPr>
        <w:spacing w:after="0" w:line="74" w:lineRule="exact"/>
        <w:rPr>
          <w:sz w:val="20"/>
          <w:szCs w:val="20"/>
          <w:color w:val="auto"/>
        </w:rPr>
      </w:pPr>
    </w:p>
    <w:p>
      <w:pPr>
        <w:ind w:left="960" w:right="40" w:hanging="424"/>
        <w:spacing w:after="0" w:line="271"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identifies, evaluates and selects, or makes recommendations to our board of directors regarding, nominees for election to our board of directors and its committees;</w:t>
      </w:r>
    </w:p>
    <w:p>
      <w:pPr>
        <w:spacing w:after="0" w:line="59" w:lineRule="exact"/>
        <w:rPr>
          <w:rFonts w:ascii="Arial" w:cs="Arial" w:eastAsia="Arial" w:hAnsi="Arial"/>
          <w:sz w:val="18"/>
          <w:szCs w:val="18"/>
          <w:color w:val="auto"/>
        </w:rPr>
      </w:pPr>
    </w:p>
    <w:p>
      <w:pPr>
        <w:ind w:left="960" w:right="200" w:hanging="424"/>
        <w:spacing w:after="0" w:line="271"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considers and makes recommendations to our board of directors regarding the composition of our board of directors and its committees;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oversees our corporate governance practices;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oversees the annual performance evaluation of our board of directors and of individual directors;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oversees our ESG activities, programs and public disclosure.</w:t>
      </w:r>
    </w:p>
    <w:p>
      <w:pPr>
        <w:spacing w:after="0" w:line="212" w:lineRule="exact"/>
        <w:rPr>
          <w:sz w:val="20"/>
          <w:szCs w:val="20"/>
          <w:color w:val="auto"/>
        </w:rPr>
      </w:pPr>
    </w:p>
    <w:p>
      <w:pPr>
        <w:ind w:right="200" w:firstLine="440"/>
        <w:spacing w:after="0" w:line="253" w:lineRule="auto"/>
        <w:rPr>
          <w:sz w:val="20"/>
          <w:szCs w:val="20"/>
          <w:color w:val="auto"/>
        </w:rPr>
      </w:pPr>
      <w:r>
        <w:rPr>
          <w:rFonts w:ascii="Arial" w:cs="Arial" w:eastAsia="Arial" w:hAnsi="Arial"/>
          <w:sz w:val="18"/>
          <w:szCs w:val="18"/>
          <w:color w:val="auto"/>
        </w:rPr>
        <w:t>Our Nominating and ESG Committee operates under a written charter that was adopted by our board of directors and satisfies the applicable rules of the SEC and the Nasdaq Listing Rules. A copy of the Nominating and ESG Committee charter is available on our website at http://investor.qualys.com.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4" w:lineRule="exact"/>
        <w:rPr>
          <w:sz w:val="20"/>
          <w:szCs w:val="20"/>
          <w:color w:val="auto"/>
        </w:rPr>
      </w:pPr>
    </w:p>
    <w:p>
      <w:pPr>
        <w:ind w:right="60" w:firstLine="440"/>
        <w:spacing w:after="0" w:line="244" w:lineRule="auto"/>
        <w:rPr>
          <w:sz w:val="20"/>
          <w:szCs w:val="20"/>
          <w:color w:val="auto"/>
        </w:rPr>
      </w:pPr>
      <w:r>
        <w:rPr>
          <w:rFonts w:ascii="Arial" w:cs="Arial" w:eastAsia="Arial" w:hAnsi="Arial"/>
          <w:sz w:val="18"/>
          <w:szCs w:val="18"/>
          <w:color w:val="auto"/>
        </w:rPr>
        <w:t>During fiscal 2022, William Berutti, Kristi M. Rogers, General Peter Pace, and John Zangardi served as members of our Compensation and Talent Committee. None of them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and Talent Committee or our board of directors.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04"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Our Nominating and ESG Committee uses a variety of methods for identifying and evaluating director nominees. In its evaluation of director candidates, our Nominating and ESG Committee will consider the current size and composition of our board of directors and the needs of our board and its committees. Some of the qualifications that the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Nominating and ESG Committee to perform all board of director and committee responsibilities. Members of our board of directors are expected to prepare for, attend, and participate in all board and applicable committee meetings. Other than the foregoing, there are no stated minimum criteria for director nominees, although our Nominating and ESG Committee may also consider such other factors as it may deem, from time to time, are in our and our stockholders’ best interests.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96" w:right="499" w:bottom="1440" w:gutter="0" w:footer="0" w:header="0"/>
        </w:sectPr>
      </w:pPr>
    </w:p>
    <w:bookmarkStart w:id="18" w:name="page19"/>
    <w:bookmarkEnd w:id="18"/>
    <w:p>
      <w:pPr>
        <w:ind w:right="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Nominating and ESG Committee will also seek appropriate input from our Chief Executive Officer from time to time in assessing the needs of our board of directors for relevant background, experience, diversity and skills of its members.</w:t>
      </w:r>
    </w:p>
    <w:p>
      <w:pPr>
        <w:spacing w:after="0" w:line="154" w:lineRule="exact"/>
        <w:rPr>
          <w:sz w:val="20"/>
          <w:szCs w:val="20"/>
          <w:color w:val="auto"/>
        </w:rPr>
      </w:pPr>
    </w:p>
    <w:p>
      <w:pPr>
        <w:ind w:right="160" w:firstLine="440"/>
        <w:spacing w:after="0" w:line="247" w:lineRule="auto"/>
        <w:rPr>
          <w:sz w:val="20"/>
          <w:szCs w:val="20"/>
          <w:color w:val="auto"/>
        </w:rPr>
      </w:pPr>
      <w:r>
        <w:rPr>
          <w:rFonts w:ascii="Arial" w:cs="Arial" w:eastAsia="Arial" w:hAnsi="Arial"/>
          <w:sz w:val="18"/>
          <w:szCs w:val="18"/>
          <w:color w:val="auto"/>
        </w:rPr>
        <w:t>Although our board of directors does not maintain a specific policy with respect to board diversity, our board of directors recognizes the benefits of having a diverse board. To that end, our Nominating and ESG Committee considers a broad range of backgrounds, viewpoints, and experiences in making determinations regarding nominations of directors. Our Nominating and ESG Committee also considers these and other factors as it oversees the annual board of director and committee evaluations.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104"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Our Nominating and ESG Committee will consider candidates for director recommended by stockholders so long as such recommendations comply with our certificate of incorporation and bylaws and applicable laws, rules and regulations, including those promulgated by the SEC. The committee will evaluate such recommendations in accordance with its charter, our bylaws and the regular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w:t>
      </w:r>
    </w:p>
    <w:p>
      <w:pPr>
        <w:spacing w:after="0" w:line="183" w:lineRule="exact"/>
        <w:rPr>
          <w:sz w:val="20"/>
          <w:szCs w:val="20"/>
          <w:color w:val="auto"/>
        </w:rPr>
      </w:pPr>
    </w:p>
    <w:p>
      <w:pPr>
        <w:ind w:right="80" w:firstLine="440"/>
        <w:spacing w:after="0" w:line="225" w:lineRule="auto"/>
        <w:rPr>
          <w:sz w:val="20"/>
          <w:szCs w:val="20"/>
          <w:color w:val="auto"/>
        </w:rPr>
      </w:pPr>
      <w:r>
        <w:rPr>
          <w:rFonts w:ascii="Arial" w:cs="Arial" w:eastAsia="Arial" w:hAnsi="Arial"/>
          <w:sz w:val="18"/>
          <w:szCs w:val="18"/>
          <w:color w:val="auto"/>
        </w:rPr>
        <w:t>A stockholder of record can nominate a candidate directly for election to our board of directors by complying with the procedures in Section 2.4(ii) of our bylaws. Any eligible stockholder who wishes to submit a nomination should review the requirements in the bylaws on nominations by stockholders. Any nomination should be sent in writing to Qualys, Inc., Attention: Corporate Secretary, 919 East Hillsdale Boulevard,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Foster City, California 94404. Notice must be received by us no earlier than 8:00 a.m. Eastern Time on February 8, 2024, and no later than 5:00 p.m. Eastern Time on March 9, 2024. The notice must state the information required by Section 2.4(ii)(b) of our bylaws and otherwise must comply with applicable federal and state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04" w:lineRule="exact"/>
        <w:rPr>
          <w:sz w:val="20"/>
          <w:szCs w:val="20"/>
          <w:color w:val="auto"/>
        </w:rPr>
      </w:pPr>
    </w:p>
    <w:p>
      <w:pPr>
        <w:ind w:right="60" w:firstLine="440"/>
        <w:spacing w:after="0" w:line="220" w:lineRule="auto"/>
        <w:rPr>
          <w:sz w:val="20"/>
          <w:szCs w:val="20"/>
          <w:color w:val="auto"/>
        </w:rPr>
      </w:pPr>
      <w:r>
        <w:rPr>
          <w:rFonts w:ascii="Arial" w:cs="Arial" w:eastAsia="Arial" w:hAnsi="Arial"/>
          <w:sz w:val="18"/>
          <w:szCs w:val="18"/>
          <w:color w:val="auto"/>
        </w:rPr>
        <w:t>Stockholders wishing to communicate with our board of directors or with an individual member of the board may do so by writing to our board of directors or to the particular member of the board, and mailing the correspondence to: Qualys, Inc., Attention: Corporate Secretary, 919 East Hillsdale Boulevard,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Foster City, California 94404. All such stockholder communications will be forwarded to the appropriate member or members of our board of directors or, if none is specified, to the Chair of the Board.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Codes of Business Conduct and Ethics</w:t>
      </w:r>
    </w:p>
    <w:p>
      <w:pPr>
        <w:spacing w:after="0" w:line="104"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96" w:right="459" w:bottom="1440" w:gutter="0" w:footer="0" w:header="0"/>
        </w:sectPr>
      </w:pPr>
    </w:p>
    <w:bookmarkStart w:id="19" w:name="page20"/>
    <w:bookmarkEnd w:id="19"/>
    <w:p>
      <w:pPr>
        <w:jc w:val="both"/>
        <w:ind w:right="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Code of Business Conduct and Ethics is posted on the Governance section of our website at http://investor.qualys.com. We will post amendments to our Code of Business Conduct and Ethics or waivers of our Code of Business Conduct and Ethics for directors and executive officers on the same website.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04"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prudently manage risk in our operations. Management is responsible for the day-to-day management of risks our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79"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Our board of directors believes that open communication between management and our board is essential for effective risk management and oversight. Our board of directors meets with our Chief Executive Officer and other members of the senior management team at quarterly board meetings, where, among other topics, they discuss strategy and risks facing Qualys.</w:t>
      </w:r>
    </w:p>
    <w:p>
      <w:pPr>
        <w:spacing w:after="0" w:line="169" w:lineRule="exact"/>
        <w:rPr>
          <w:sz w:val="20"/>
          <w:szCs w:val="20"/>
          <w:color w:val="auto"/>
        </w:rPr>
      </w:pPr>
    </w:p>
    <w:p>
      <w:pPr>
        <w:ind w:firstLine="440"/>
        <w:spacing w:after="0" w:line="253" w:lineRule="auto"/>
        <w:rPr>
          <w:sz w:val="20"/>
          <w:szCs w:val="20"/>
          <w:color w:val="auto"/>
        </w:rPr>
      </w:pPr>
      <w:r>
        <w:rPr>
          <w:rFonts w:ascii="Arial" w:cs="Arial" w:eastAsia="Arial" w:hAnsi="Arial"/>
          <w:sz w:val="17"/>
          <w:szCs w:val="17"/>
          <w:color w:val="auto"/>
        </w:rPr>
        <w:t>While our entire board of directors is ultimately responsible for risk oversight, our board committees assist our board in fulfilling its oversight responsibilities in certain areas of risk. Our Audit and Risk Committee assists our board of directors in fulfilling its oversight responsibilities with respect to risk management pertaining to financial, accounting, insurance coverage, investment, tax, and operational infrastructure, including security, data privacy, reliability, business continuity and capacity matters. Our Audit and Risk Committee discusses with management and the independent auditor guidelines and policies with respect to risk assessment and risk management; reviews management’s assessment of the key risks facing us, including the key controls it relies on to mitigate those risks; and monitors certain key risks at each of its regularly scheduled meetings, such as risk associated with internal control over financial reporting and liquidity risk. Our Compensation and Talent Committee assesses and monitors whether any of our compensation policies and programs has the potential to encourage excessive risk-taking. Our Nominating and ESG Committee assists our board of directors in fulfilling its oversight responsibilities with respect to the management of risk associated with board organization, membership and structure, and ESG matters. Finally, the full board of directors reviews strategic and operational risk in the context of reports from the management team, receives reports on all significant committee activities at each regular meeting, and evaluates the risks inherent in significant transactions.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96" w:right="51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Non-Employee Director Compensation</w:t>
      </w:r>
    </w:p>
    <w:p>
      <w:pPr>
        <w:spacing w:after="0" w:line="106" w:lineRule="exact"/>
        <w:rPr>
          <w:sz w:val="20"/>
          <w:szCs w:val="20"/>
          <w:color w:val="auto"/>
        </w:rPr>
      </w:pPr>
    </w:p>
    <w:p>
      <w:pPr>
        <w:ind w:left="224"/>
        <w:spacing w:after="0"/>
        <w:rPr>
          <w:sz w:val="20"/>
          <w:szCs w:val="20"/>
          <w:color w:val="auto"/>
        </w:rPr>
      </w:pPr>
      <w:r>
        <w:rPr>
          <w:rFonts w:ascii="Arial" w:cs="Arial" w:eastAsia="Arial" w:hAnsi="Arial"/>
          <w:sz w:val="18"/>
          <w:szCs w:val="18"/>
          <w:b w:val="1"/>
          <w:bCs w:val="1"/>
          <w:i w:val="1"/>
          <w:iCs w:val="1"/>
          <w:color w:val="auto"/>
        </w:rPr>
        <w:t>2022 Director Compensation Table</w:t>
      </w:r>
    </w:p>
    <w:p>
      <w:pPr>
        <w:spacing w:after="0" w:line="102" w:lineRule="exact"/>
        <w:rPr>
          <w:sz w:val="20"/>
          <w:szCs w:val="20"/>
          <w:color w:val="auto"/>
        </w:rPr>
      </w:pPr>
    </w:p>
    <w:p>
      <w:pPr>
        <w:ind w:left="4" w:right="20" w:firstLine="440"/>
        <w:spacing w:after="0" w:line="244" w:lineRule="auto"/>
        <w:rPr>
          <w:sz w:val="20"/>
          <w:szCs w:val="20"/>
          <w:color w:val="auto"/>
        </w:rPr>
      </w:pPr>
      <w:r>
        <w:rPr>
          <w:rFonts w:ascii="Arial" w:cs="Arial" w:eastAsia="Arial" w:hAnsi="Arial"/>
          <w:sz w:val="18"/>
          <w:szCs w:val="18"/>
          <w:color w:val="auto"/>
        </w:rPr>
        <w:t>The following table provides information regarding compensation of our non-employee directors during our fiscal year ended December 31, 2022. Directors who are also our employees receive no additional compensation for their service as a director. During 2022, Sumedh S. Thakar was an employee. Mr. Thakar’s compensation is discussed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We reimburse our directors for expenses associated with attending meetings of our board of directors and meetings of committees of our board.</w:t>
      </w: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3960" w:type="dxa"/>
            <w:vAlign w:val="bottom"/>
          </w:tcPr>
          <w:p>
            <w:pPr>
              <w:jc w:val="center"/>
              <w:ind w:left="2575"/>
              <w:spacing w:after="0"/>
              <w:rPr>
                <w:sz w:val="20"/>
                <w:szCs w:val="20"/>
                <w:color w:val="auto"/>
              </w:rPr>
            </w:pPr>
            <w:r>
              <w:rPr>
                <w:rFonts w:ascii="Arial" w:cs="Arial" w:eastAsia="Arial" w:hAnsi="Arial"/>
                <w:sz w:val="14"/>
                <w:szCs w:val="14"/>
                <w:b w:val="1"/>
                <w:bCs w:val="1"/>
                <w:color w:val="auto"/>
              </w:rPr>
              <w:t>Fees Earned</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8"/>
        </w:trPr>
        <w:tc>
          <w:tcPr>
            <w:tcW w:w="4720" w:type="dxa"/>
            <w:vAlign w:val="bottom"/>
          </w:tcPr>
          <w:p>
            <w:pPr>
              <w:spacing w:after="0"/>
              <w:rPr>
                <w:sz w:val="13"/>
                <w:szCs w:val="13"/>
                <w:color w:val="auto"/>
              </w:rPr>
            </w:pPr>
          </w:p>
        </w:tc>
        <w:tc>
          <w:tcPr>
            <w:tcW w:w="3960" w:type="dxa"/>
            <w:vAlign w:val="bottom"/>
          </w:tcPr>
          <w:p>
            <w:pPr>
              <w:jc w:val="center"/>
              <w:ind w:left="2575"/>
              <w:spacing w:after="0" w:line="158" w:lineRule="exact"/>
              <w:rPr>
                <w:sz w:val="20"/>
                <w:szCs w:val="20"/>
                <w:color w:val="auto"/>
              </w:rPr>
            </w:pPr>
            <w:r>
              <w:rPr>
                <w:rFonts w:ascii="Arial" w:cs="Arial" w:eastAsia="Arial" w:hAnsi="Arial"/>
                <w:sz w:val="14"/>
                <w:szCs w:val="14"/>
                <w:b w:val="1"/>
                <w:bCs w:val="1"/>
                <w:color w:val="auto"/>
              </w:rPr>
              <w:t>or Paid in</w:t>
            </w:r>
          </w:p>
        </w:tc>
        <w:tc>
          <w:tcPr>
            <w:tcW w:w="1380" w:type="dxa"/>
            <w:vAlign w:val="bottom"/>
          </w:tcPr>
          <w:p>
            <w:pPr>
              <w:jc w:val="right"/>
              <w:ind w:right="181"/>
              <w:spacing w:after="0" w:line="158" w:lineRule="exact"/>
              <w:rPr>
                <w:sz w:val="20"/>
                <w:szCs w:val="20"/>
                <w:color w:val="auto"/>
              </w:rPr>
            </w:pPr>
            <w:r>
              <w:rPr>
                <w:rFonts w:ascii="Arial" w:cs="Arial" w:eastAsia="Arial" w:hAnsi="Arial"/>
                <w:sz w:val="14"/>
                <w:szCs w:val="14"/>
                <w:b w:val="1"/>
                <w:bCs w:val="1"/>
                <w:color w:val="auto"/>
              </w:rPr>
              <w:t>Stock Awards</w:t>
            </w:r>
          </w:p>
        </w:tc>
        <w:tc>
          <w:tcPr>
            <w:tcW w:w="9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Total</w:t>
            </w:r>
          </w:p>
        </w:tc>
      </w:tr>
      <w:tr>
        <w:trPr>
          <w:trHeight w:val="189"/>
        </w:trPr>
        <w:tc>
          <w:tcPr>
            <w:tcW w:w="472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3960" w:type="dxa"/>
            <w:vAlign w:val="bottom"/>
          </w:tcPr>
          <w:p>
            <w:pPr>
              <w:jc w:val="center"/>
              <w:ind w:left="2575"/>
              <w:spacing w:after="0"/>
              <w:rPr>
                <w:sz w:val="20"/>
                <w:szCs w:val="20"/>
                <w:color w:val="auto"/>
              </w:rPr>
            </w:pPr>
            <w:r>
              <w:rPr>
                <w:rFonts w:ascii="Arial" w:cs="Arial" w:eastAsia="Arial" w:hAnsi="Arial"/>
                <w:sz w:val="14"/>
                <w:szCs w:val="14"/>
                <w:b w:val="1"/>
                <w:bCs w:val="1"/>
                <w:color w:val="auto"/>
              </w:rPr>
              <w:t>Cash ($)</w:t>
            </w:r>
          </w:p>
        </w:tc>
        <w:tc>
          <w:tcPr>
            <w:tcW w:w="1380" w:type="dxa"/>
            <w:vAlign w:val="bottom"/>
          </w:tcPr>
          <w:p>
            <w:pPr>
              <w:jc w:val="right"/>
              <w:ind w:right="441"/>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9"/>
                <w:szCs w:val="9"/>
                <w:b w:val="1"/>
                <w:bCs w:val="1"/>
                <w:color w:val="auto"/>
              </w:rPr>
              <w:t>(1)(2)</w:t>
            </w: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w:t>
            </w:r>
          </w:p>
        </w:tc>
      </w:tr>
      <w:tr>
        <w:trPr>
          <w:trHeight w:val="203"/>
        </w:trPr>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Sandra E. Bergeron</w:t>
            </w:r>
            <w:r>
              <w:rPr>
                <w:rFonts w:ascii="Arial" w:cs="Arial" w:eastAsia="Arial" w:hAnsi="Arial"/>
                <w:sz w:val="23"/>
                <w:szCs w:val="23"/>
                <w:color w:val="auto"/>
                <w:vertAlign w:val="superscript"/>
              </w:rPr>
              <w:t>(3)</w:t>
            </w:r>
          </w:p>
        </w:tc>
        <w:tc>
          <w:tcPr>
            <w:tcW w:w="396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84,923</w:t>
            </w:r>
          </w:p>
        </w:tc>
        <w:tc>
          <w:tcPr>
            <w:tcW w:w="1380" w:type="dxa"/>
            <w:vAlign w:val="bottom"/>
            <w:shd w:val="clear" w:color="auto" w:fill="CCEEFF"/>
          </w:tcPr>
          <w:p>
            <w:pPr>
              <w:jc w:val="right"/>
              <w:ind w:right="161"/>
              <w:spacing w:after="0" w:line="202" w:lineRule="exact"/>
              <w:rPr>
                <w:sz w:val="20"/>
                <w:szCs w:val="20"/>
                <w:color w:val="auto"/>
              </w:rPr>
            </w:pPr>
            <w:r>
              <w:rPr>
                <w:rFonts w:ascii="Arial" w:cs="Arial" w:eastAsia="Arial" w:hAnsi="Arial"/>
                <w:sz w:val="16"/>
                <w:szCs w:val="16"/>
                <w:color w:val="auto"/>
              </w:rPr>
              <w:t>205,843</w:t>
            </w:r>
            <w:r>
              <w:rPr>
                <w:rFonts w:ascii="Arial" w:cs="Arial" w:eastAsia="Arial" w:hAnsi="Arial"/>
                <w:sz w:val="23"/>
                <w:szCs w:val="23"/>
                <w:color w:val="auto"/>
                <w:vertAlign w:val="superscript"/>
              </w:rPr>
              <w:t>(4)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290,766</w:t>
            </w:r>
          </w:p>
        </w:tc>
      </w:tr>
      <w:tr>
        <w:trPr>
          <w:trHeight w:val="418"/>
        </w:trPr>
        <w:tc>
          <w:tcPr>
            <w:tcW w:w="4720" w:type="dxa"/>
            <w:vAlign w:val="bottom"/>
          </w:tcPr>
          <w:p>
            <w:pPr>
              <w:ind w:left="100"/>
              <w:spacing w:after="0"/>
              <w:rPr>
                <w:sz w:val="20"/>
                <w:szCs w:val="20"/>
                <w:color w:val="auto"/>
              </w:rPr>
            </w:pPr>
            <w:r>
              <w:rPr>
                <w:rFonts w:ascii="Arial" w:cs="Arial" w:eastAsia="Arial" w:hAnsi="Arial"/>
                <w:sz w:val="18"/>
                <w:szCs w:val="18"/>
                <w:color w:val="auto"/>
              </w:rPr>
              <w:t>William Berutti</w:t>
            </w:r>
          </w:p>
        </w:tc>
        <w:tc>
          <w:tcPr>
            <w:tcW w:w="3960" w:type="dxa"/>
            <w:vAlign w:val="bottom"/>
          </w:tcPr>
          <w:p>
            <w:pPr>
              <w:jc w:val="right"/>
              <w:ind w:right="115"/>
              <w:spacing w:after="0"/>
              <w:rPr>
                <w:sz w:val="20"/>
                <w:szCs w:val="20"/>
                <w:color w:val="auto"/>
              </w:rPr>
            </w:pPr>
            <w:r>
              <w:rPr>
                <w:rFonts w:ascii="Arial" w:cs="Arial" w:eastAsia="Arial" w:hAnsi="Arial"/>
                <w:sz w:val="18"/>
                <w:szCs w:val="18"/>
                <w:color w:val="auto"/>
              </w:rPr>
              <w:t>36,345</w:t>
            </w:r>
          </w:p>
        </w:tc>
        <w:tc>
          <w:tcPr>
            <w:tcW w:w="1380" w:type="dxa"/>
            <w:vAlign w:val="bottom"/>
          </w:tcPr>
          <w:p>
            <w:pPr>
              <w:jc w:val="right"/>
              <w:ind w:right="161"/>
              <w:spacing w:after="0"/>
              <w:rPr>
                <w:sz w:val="20"/>
                <w:szCs w:val="20"/>
                <w:color w:val="auto"/>
              </w:rPr>
            </w:pPr>
            <w:r>
              <w:rPr>
                <w:rFonts w:ascii="Arial" w:cs="Arial" w:eastAsia="Arial" w:hAnsi="Arial"/>
                <w:sz w:val="18"/>
                <w:szCs w:val="18"/>
                <w:color w:val="auto"/>
              </w:rPr>
              <w:t>205,843</w:t>
            </w:r>
            <w:r>
              <w:rPr>
                <w:rFonts w:ascii="Arial" w:cs="Arial" w:eastAsia="Arial" w:hAnsi="Arial"/>
                <w:sz w:val="26"/>
                <w:szCs w:val="26"/>
                <w:color w:val="auto"/>
                <w:vertAlign w:val="superscript"/>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242,188</w:t>
            </w:r>
          </w:p>
        </w:tc>
      </w:tr>
      <w:tr>
        <w:trPr>
          <w:trHeight w:val="203"/>
        </w:trPr>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Jeffrey P. Hank</w:t>
            </w:r>
          </w:p>
        </w:tc>
        <w:tc>
          <w:tcPr>
            <w:tcW w:w="396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50,897</w:t>
            </w:r>
          </w:p>
        </w:tc>
        <w:tc>
          <w:tcPr>
            <w:tcW w:w="1380" w:type="dxa"/>
            <w:vAlign w:val="bottom"/>
            <w:shd w:val="clear" w:color="auto" w:fill="CCEEFF"/>
          </w:tcPr>
          <w:p>
            <w:pPr>
              <w:jc w:val="right"/>
              <w:ind w:right="161"/>
              <w:spacing w:after="0" w:line="202" w:lineRule="exact"/>
              <w:rPr>
                <w:sz w:val="20"/>
                <w:szCs w:val="20"/>
                <w:color w:val="auto"/>
              </w:rPr>
            </w:pPr>
            <w:r>
              <w:rPr>
                <w:rFonts w:ascii="Arial" w:cs="Arial" w:eastAsia="Arial" w:hAnsi="Arial"/>
                <w:sz w:val="16"/>
                <w:szCs w:val="16"/>
                <w:color w:val="auto"/>
              </w:rPr>
              <w:t>205,843</w:t>
            </w:r>
            <w:r>
              <w:rPr>
                <w:rFonts w:ascii="Arial" w:cs="Arial" w:eastAsia="Arial" w:hAnsi="Arial"/>
                <w:sz w:val="23"/>
                <w:szCs w:val="23"/>
                <w:color w:val="auto"/>
                <w:vertAlign w:val="superscript"/>
              </w:rPr>
              <w:t>(4)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256,740</w:t>
            </w:r>
          </w:p>
        </w:tc>
      </w:tr>
      <w:tr>
        <w:trPr>
          <w:trHeight w:val="419"/>
        </w:trPr>
        <w:tc>
          <w:tcPr>
            <w:tcW w:w="4720" w:type="dxa"/>
            <w:vAlign w:val="bottom"/>
          </w:tcPr>
          <w:p>
            <w:pPr>
              <w:ind w:left="100"/>
              <w:spacing w:after="0"/>
              <w:rPr>
                <w:sz w:val="20"/>
                <w:szCs w:val="20"/>
                <w:color w:val="auto"/>
              </w:rPr>
            </w:pPr>
            <w:r>
              <w:rPr>
                <w:rFonts w:ascii="Arial" w:cs="Arial" w:eastAsia="Arial" w:hAnsi="Arial"/>
                <w:sz w:val="18"/>
                <w:szCs w:val="18"/>
                <w:color w:val="auto"/>
              </w:rPr>
              <w:t>General Peter Pace</w:t>
            </w:r>
          </w:p>
        </w:tc>
        <w:tc>
          <w:tcPr>
            <w:tcW w:w="3960" w:type="dxa"/>
            <w:vAlign w:val="bottom"/>
          </w:tcPr>
          <w:p>
            <w:pPr>
              <w:jc w:val="right"/>
              <w:ind w:right="115"/>
              <w:spacing w:after="0"/>
              <w:rPr>
                <w:sz w:val="20"/>
                <w:szCs w:val="20"/>
                <w:color w:val="auto"/>
              </w:rPr>
            </w:pPr>
            <w:r>
              <w:rPr>
                <w:rFonts w:ascii="Arial" w:cs="Arial" w:eastAsia="Arial" w:hAnsi="Arial"/>
                <w:sz w:val="18"/>
                <w:szCs w:val="18"/>
                <w:color w:val="auto"/>
              </w:rPr>
              <w:t>40,524</w:t>
            </w:r>
          </w:p>
        </w:tc>
        <w:tc>
          <w:tcPr>
            <w:tcW w:w="1380" w:type="dxa"/>
            <w:vAlign w:val="bottom"/>
          </w:tcPr>
          <w:p>
            <w:pPr>
              <w:jc w:val="right"/>
              <w:ind w:right="161"/>
              <w:spacing w:after="0"/>
              <w:rPr>
                <w:sz w:val="20"/>
                <w:szCs w:val="20"/>
                <w:color w:val="auto"/>
              </w:rPr>
            </w:pPr>
            <w:r>
              <w:rPr>
                <w:rFonts w:ascii="Arial" w:cs="Arial" w:eastAsia="Arial" w:hAnsi="Arial"/>
                <w:sz w:val="18"/>
                <w:szCs w:val="18"/>
                <w:color w:val="auto"/>
              </w:rPr>
              <w:t xml:space="preserve">205,843 </w:t>
            </w:r>
            <w:r>
              <w:rPr>
                <w:rFonts w:ascii="Arial" w:cs="Arial" w:eastAsia="Arial" w:hAnsi="Arial"/>
                <w:sz w:val="26"/>
                <w:szCs w:val="26"/>
                <w:color w:val="auto"/>
                <w:vertAlign w:val="superscript"/>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246,367</w:t>
            </w:r>
          </w:p>
        </w:tc>
      </w:tr>
      <w:tr>
        <w:trPr>
          <w:trHeight w:val="203"/>
        </w:trPr>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Wendy M. Pfeiffer</w:t>
            </w:r>
          </w:p>
        </w:tc>
        <w:tc>
          <w:tcPr>
            <w:tcW w:w="396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43,435</w:t>
            </w:r>
          </w:p>
        </w:tc>
        <w:tc>
          <w:tcPr>
            <w:tcW w:w="1380" w:type="dxa"/>
            <w:vAlign w:val="bottom"/>
            <w:shd w:val="clear" w:color="auto" w:fill="CCEEFF"/>
          </w:tcPr>
          <w:p>
            <w:pPr>
              <w:jc w:val="right"/>
              <w:ind w:right="161"/>
              <w:spacing w:after="0" w:line="202" w:lineRule="exact"/>
              <w:rPr>
                <w:sz w:val="20"/>
                <w:szCs w:val="20"/>
                <w:color w:val="auto"/>
              </w:rPr>
            </w:pPr>
            <w:r>
              <w:rPr>
                <w:rFonts w:ascii="Arial" w:cs="Arial" w:eastAsia="Arial" w:hAnsi="Arial"/>
                <w:sz w:val="16"/>
                <w:szCs w:val="16"/>
                <w:color w:val="auto"/>
              </w:rPr>
              <w:t xml:space="preserve">205,843 </w:t>
            </w:r>
            <w:r>
              <w:rPr>
                <w:rFonts w:ascii="Arial" w:cs="Arial" w:eastAsia="Arial" w:hAnsi="Arial"/>
                <w:sz w:val="23"/>
                <w:szCs w:val="23"/>
                <w:color w:val="auto"/>
                <w:vertAlign w:val="superscript"/>
              </w:rPr>
              <w:t>(4)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249,278</w:t>
            </w:r>
          </w:p>
        </w:tc>
      </w:tr>
      <w:tr>
        <w:trPr>
          <w:trHeight w:val="418"/>
        </w:trPr>
        <w:tc>
          <w:tcPr>
            <w:tcW w:w="4720" w:type="dxa"/>
            <w:vAlign w:val="bottom"/>
          </w:tcPr>
          <w:p>
            <w:pPr>
              <w:ind w:left="100"/>
              <w:spacing w:after="0"/>
              <w:rPr>
                <w:sz w:val="20"/>
                <w:szCs w:val="20"/>
                <w:color w:val="auto"/>
              </w:rPr>
            </w:pPr>
            <w:r>
              <w:rPr>
                <w:rFonts w:ascii="Arial" w:cs="Arial" w:eastAsia="Arial" w:hAnsi="Arial"/>
                <w:sz w:val="18"/>
                <w:szCs w:val="18"/>
                <w:color w:val="auto"/>
              </w:rPr>
              <w:t>Kristi M. Rogers</w:t>
            </w:r>
          </w:p>
        </w:tc>
        <w:tc>
          <w:tcPr>
            <w:tcW w:w="3960" w:type="dxa"/>
            <w:vAlign w:val="bottom"/>
          </w:tcPr>
          <w:p>
            <w:pPr>
              <w:jc w:val="right"/>
              <w:ind w:right="115"/>
              <w:spacing w:after="0"/>
              <w:rPr>
                <w:sz w:val="20"/>
                <w:szCs w:val="20"/>
                <w:color w:val="auto"/>
              </w:rPr>
            </w:pPr>
            <w:r>
              <w:rPr>
                <w:rFonts w:ascii="Arial" w:cs="Arial" w:eastAsia="Arial" w:hAnsi="Arial"/>
                <w:sz w:val="18"/>
                <w:szCs w:val="18"/>
                <w:color w:val="auto"/>
              </w:rPr>
              <w:t>44,293</w:t>
            </w:r>
          </w:p>
        </w:tc>
        <w:tc>
          <w:tcPr>
            <w:tcW w:w="1380" w:type="dxa"/>
            <w:vAlign w:val="bottom"/>
          </w:tcPr>
          <w:p>
            <w:pPr>
              <w:jc w:val="right"/>
              <w:ind w:right="161"/>
              <w:spacing w:after="0"/>
              <w:rPr>
                <w:sz w:val="20"/>
                <w:szCs w:val="20"/>
                <w:color w:val="auto"/>
              </w:rPr>
            </w:pPr>
            <w:r>
              <w:rPr>
                <w:rFonts w:ascii="Arial" w:cs="Arial" w:eastAsia="Arial" w:hAnsi="Arial"/>
                <w:sz w:val="18"/>
                <w:szCs w:val="18"/>
                <w:color w:val="auto"/>
              </w:rPr>
              <w:t xml:space="preserve">205,843 </w:t>
            </w:r>
            <w:r>
              <w:rPr>
                <w:rFonts w:ascii="Arial" w:cs="Arial" w:eastAsia="Arial" w:hAnsi="Arial"/>
                <w:sz w:val="26"/>
                <w:szCs w:val="26"/>
                <w:color w:val="auto"/>
                <w:vertAlign w:val="superscript"/>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250,136</w:t>
            </w:r>
          </w:p>
        </w:tc>
      </w:tr>
      <w:tr>
        <w:trPr>
          <w:trHeight w:val="203"/>
        </w:trPr>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John Zangardi</w:t>
            </w:r>
          </w:p>
        </w:tc>
        <w:tc>
          <w:tcPr>
            <w:tcW w:w="396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51,793</w:t>
            </w:r>
          </w:p>
        </w:tc>
        <w:tc>
          <w:tcPr>
            <w:tcW w:w="1380" w:type="dxa"/>
            <w:vAlign w:val="bottom"/>
            <w:shd w:val="clear" w:color="auto" w:fill="CCEEFF"/>
          </w:tcPr>
          <w:p>
            <w:pPr>
              <w:jc w:val="right"/>
              <w:ind w:right="161"/>
              <w:spacing w:after="0" w:line="202" w:lineRule="exact"/>
              <w:rPr>
                <w:sz w:val="20"/>
                <w:szCs w:val="20"/>
                <w:color w:val="auto"/>
              </w:rPr>
            </w:pPr>
            <w:r>
              <w:rPr>
                <w:rFonts w:ascii="Arial" w:cs="Arial" w:eastAsia="Arial" w:hAnsi="Arial"/>
                <w:sz w:val="16"/>
                <w:szCs w:val="16"/>
                <w:color w:val="auto"/>
              </w:rPr>
              <w:t xml:space="preserve">205,843 </w:t>
            </w:r>
            <w:r>
              <w:rPr>
                <w:rFonts w:ascii="Arial" w:cs="Arial" w:eastAsia="Arial" w:hAnsi="Arial"/>
                <w:sz w:val="23"/>
                <w:szCs w:val="23"/>
                <w:color w:val="auto"/>
                <w:vertAlign w:val="superscript"/>
              </w:rPr>
              <w:t>(4)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257,636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80" w:hanging="424"/>
        <w:spacing w:after="0" w:line="254" w:lineRule="auto"/>
        <w:tabs>
          <w:tab w:leader="none" w:pos="4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grant date fair value of restricted stock unit awards granted in 2022. These amounts have been calculated in accordance with Financial Accounting Standards Board, or FASB, Accounting Standards Codification, or ASC, Topic 718. The fair value of each restricted stock unit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2022, filed with the SEC on February 23, 2023.</w:t>
      </w:r>
    </w:p>
    <w:p>
      <w:pPr>
        <w:spacing w:after="0" w:line="87" w:lineRule="exact"/>
        <w:rPr>
          <w:rFonts w:ascii="Arial" w:cs="Arial" w:eastAsia="Arial" w:hAnsi="Arial"/>
          <w:sz w:val="16"/>
          <w:szCs w:val="16"/>
          <w:color w:val="auto"/>
        </w:rPr>
      </w:pPr>
    </w:p>
    <w:p>
      <w:pPr>
        <w:ind w:left="424" w:right="80" w:hanging="424"/>
        <w:spacing w:after="0" w:line="286" w:lineRule="auto"/>
        <w:tabs>
          <w:tab w:leader="none" w:pos="4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December 31, 2022, the aggregate number of shares of our common stock underlying unvested stock awards and outstanding option awards held by each of our non-employee directors was:</w:t>
      </w:r>
    </w:p>
    <w:p>
      <w:pPr>
        <w:spacing w:after="0" w:line="188"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760" w:type="dxa"/>
            <w:vAlign w:val="bottom"/>
            <w:shd w:val="clear" w:color="auto" w:fill="FF0C07"/>
          </w:tcPr>
          <w:p>
            <w:pPr>
              <w:spacing w:after="0"/>
              <w:rPr>
                <w:sz w:val="14"/>
                <w:szCs w:val="14"/>
                <w:color w:val="auto"/>
              </w:rPr>
            </w:pPr>
          </w:p>
        </w:tc>
        <w:tc>
          <w:tcPr>
            <w:tcW w:w="3300" w:type="dxa"/>
            <w:vAlign w:val="bottom"/>
            <w:shd w:val="clear" w:color="auto" w:fill="FF0C07"/>
          </w:tcPr>
          <w:p>
            <w:pPr>
              <w:jc w:val="center"/>
              <w:ind w:left="1844"/>
              <w:spacing w:after="0"/>
              <w:rPr>
                <w:sz w:val="20"/>
                <w:szCs w:val="20"/>
                <w:color w:val="auto"/>
              </w:rPr>
            </w:pPr>
            <w:r>
              <w:rPr>
                <w:rFonts w:ascii="Arial" w:cs="Arial" w:eastAsia="Arial" w:hAnsi="Arial"/>
                <w:sz w:val="14"/>
                <w:szCs w:val="14"/>
                <w:b w:val="1"/>
                <w:bCs w:val="1"/>
                <w:color w:val="FFFFFF"/>
              </w:rPr>
              <w:t>Aggregate</w:t>
            </w:r>
          </w:p>
        </w:tc>
        <w:tc>
          <w:tcPr>
            <w:tcW w:w="1300" w:type="dxa"/>
            <w:vAlign w:val="bottom"/>
            <w:shd w:val="clear" w:color="auto" w:fill="FF0C07"/>
          </w:tcPr>
          <w:p>
            <w:pPr>
              <w:jc w:val="center"/>
              <w:ind w:left="64"/>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3760" w:type="dxa"/>
            <w:vAlign w:val="bottom"/>
            <w:shd w:val="clear" w:color="auto" w:fill="FF0C07"/>
          </w:tcPr>
          <w:p>
            <w:pPr>
              <w:spacing w:after="0"/>
              <w:rPr>
                <w:sz w:val="14"/>
                <w:szCs w:val="14"/>
                <w:color w:val="auto"/>
              </w:rPr>
            </w:pPr>
          </w:p>
        </w:tc>
        <w:tc>
          <w:tcPr>
            <w:tcW w:w="3300" w:type="dxa"/>
            <w:vAlign w:val="bottom"/>
            <w:shd w:val="clear" w:color="auto" w:fill="FF0C07"/>
          </w:tcPr>
          <w:p>
            <w:pPr>
              <w:jc w:val="center"/>
              <w:ind w:left="1864"/>
              <w:spacing w:after="0"/>
              <w:rPr>
                <w:sz w:val="20"/>
                <w:szCs w:val="20"/>
                <w:color w:val="auto"/>
              </w:rPr>
            </w:pPr>
            <w:r>
              <w:rPr>
                <w:rFonts w:ascii="Arial" w:cs="Arial" w:eastAsia="Arial" w:hAnsi="Arial"/>
                <w:sz w:val="14"/>
                <w:szCs w:val="14"/>
                <w:b w:val="1"/>
                <w:bCs w:val="1"/>
                <w:color w:val="FFFFFF"/>
              </w:rPr>
              <w:t>Number of</w:t>
            </w:r>
          </w:p>
        </w:tc>
        <w:tc>
          <w:tcPr>
            <w:tcW w:w="1300" w:type="dxa"/>
            <w:vAlign w:val="bottom"/>
            <w:shd w:val="clear" w:color="auto" w:fill="FF0C07"/>
          </w:tcPr>
          <w:p>
            <w:pPr>
              <w:jc w:val="center"/>
              <w:ind w:left="64"/>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3760" w:type="dxa"/>
            <w:vAlign w:val="bottom"/>
            <w:shd w:val="clear" w:color="auto" w:fill="FF0C07"/>
          </w:tcPr>
          <w:p>
            <w:pPr>
              <w:spacing w:after="0"/>
              <w:rPr>
                <w:sz w:val="14"/>
                <w:szCs w:val="14"/>
                <w:color w:val="auto"/>
              </w:rPr>
            </w:pPr>
          </w:p>
        </w:tc>
        <w:tc>
          <w:tcPr>
            <w:tcW w:w="3300" w:type="dxa"/>
            <w:vAlign w:val="bottom"/>
            <w:shd w:val="clear" w:color="auto" w:fill="FF0C07"/>
          </w:tcPr>
          <w:p>
            <w:pPr>
              <w:jc w:val="center"/>
              <w:ind w:left="1864"/>
              <w:spacing w:after="0"/>
              <w:rPr>
                <w:sz w:val="20"/>
                <w:szCs w:val="20"/>
                <w:color w:val="auto"/>
              </w:rPr>
            </w:pPr>
            <w:r>
              <w:rPr>
                <w:rFonts w:ascii="Arial" w:cs="Arial" w:eastAsia="Arial" w:hAnsi="Arial"/>
                <w:sz w:val="14"/>
                <w:szCs w:val="14"/>
                <w:b w:val="1"/>
                <w:bCs w:val="1"/>
                <w:color w:val="FFFFFF"/>
              </w:rPr>
              <w:t>Shares</w:t>
            </w:r>
          </w:p>
        </w:tc>
        <w:tc>
          <w:tcPr>
            <w:tcW w:w="1300" w:type="dxa"/>
            <w:vAlign w:val="bottom"/>
            <w:shd w:val="clear" w:color="auto" w:fill="FF0C07"/>
          </w:tcPr>
          <w:p>
            <w:pPr>
              <w:jc w:val="center"/>
              <w:ind w:left="64"/>
              <w:spacing w:after="0"/>
              <w:rPr>
                <w:sz w:val="20"/>
                <w:szCs w:val="20"/>
                <w:color w:val="auto"/>
              </w:rPr>
            </w:pPr>
            <w:r>
              <w:rPr>
                <w:rFonts w:ascii="Arial" w:cs="Arial" w:eastAsia="Arial" w:hAnsi="Arial"/>
                <w:sz w:val="14"/>
                <w:szCs w:val="14"/>
                <w:b w:val="1"/>
                <w:bCs w:val="1"/>
                <w:color w:val="FFFFFF"/>
              </w:rPr>
              <w:t>Shares</w:t>
            </w:r>
          </w:p>
        </w:tc>
      </w:tr>
      <w:tr>
        <w:trPr>
          <w:trHeight w:val="162"/>
        </w:trPr>
        <w:tc>
          <w:tcPr>
            <w:tcW w:w="3760" w:type="dxa"/>
            <w:vAlign w:val="bottom"/>
            <w:shd w:val="clear" w:color="auto" w:fill="FF0C07"/>
          </w:tcPr>
          <w:p>
            <w:pPr>
              <w:spacing w:after="0"/>
              <w:rPr>
                <w:sz w:val="14"/>
                <w:szCs w:val="14"/>
                <w:color w:val="auto"/>
              </w:rPr>
            </w:pPr>
          </w:p>
        </w:tc>
        <w:tc>
          <w:tcPr>
            <w:tcW w:w="3300" w:type="dxa"/>
            <w:vAlign w:val="bottom"/>
            <w:shd w:val="clear" w:color="auto" w:fill="FF0C07"/>
          </w:tcPr>
          <w:p>
            <w:pPr>
              <w:jc w:val="right"/>
              <w:ind w:right="244"/>
              <w:spacing w:after="0"/>
              <w:rPr>
                <w:sz w:val="20"/>
                <w:szCs w:val="20"/>
                <w:color w:val="auto"/>
              </w:rPr>
            </w:pPr>
            <w:r>
              <w:rPr>
                <w:rFonts w:ascii="Arial" w:cs="Arial" w:eastAsia="Arial" w:hAnsi="Arial"/>
                <w:sz w:val="14"/>
                <w:szCs w:val="14"/>
                <w:b w:val="1"/>
                <w:bCs w:val="1"/>
                <w:color w:val="FFFFFF"/>
              </w:rPr>
              <w:t>Underlying</w:t>
            </w:r>
          </w:p>
        </w:tc>
        <w:tc>
          <w:tcPr>
            <w:tcW w:w="1300" w:type="dxa"/>
            <w:vAlign w:val="bottom"/>
            <w:shd w:val="clear" w:color="auto" w:fill="FF0C07"/>
          </w:tcPr>
          <w:p>
            <w:pPr>
              <w:jc w:val="center"/>
              <w:ind w:left="64"/>
              <w:spacing w:after="0"/>
              <w:rPr>
                <w:sz w:val="20"/>
                <w:szCs w:val="20"/>
                <w:color w:val="auto"/>
              </w:rPr>
            </w:pPr>
            <w:r>
              <w:rPr>
                <w:rFonts w:ascii="Arial" w:cs="Arial" w:eastAsia="Arial" w:hAnsi="Arial"/>
                <w:sz w:val="14"/>
                <w:szCs w:val="14"/>
                <w:b w:val="1"/>
                <w:bCs w:val="1"/>
                <w:color w:val="FFFFFF"/>
              </w:rPr>
              <w:t>Underlying</w:t>
            </w:r>
          </w:p>
        </w:tc>
      </w:tr>
      <w:tr>
        <w:trPr>
          <w:trHeight w:val="162"/>
        </w:trPr>
        <w:tc>
          <w:tcPr>
            <w:tcW w:w="3760" w:type="dxa"/>
            <w:vAlign w:val="bottom"/>
            <w:shd w:val="clear" w:color="auto" w:fill="FF0C07"/>
          </w:tcPr>
          <w:p>
            <w:pPr>
              <w:spacing w:after="0"/>
              <w:rPr>
                <w:sz w:val="14"/>
                <w:szCs w:val="14"/>
                <w:color w:val="auto"/>
              </w:rPr>
            </w:pPr>
          </w:p>
        </w:tc>
        <w:tc>
          <w:tcPr>
            <w:tcW w:w="3300" w:type="dxa"/>
            <w:vAlign w:val="bottom"/>
            <w:shd w:val="clear" w:color="auto" w:fill="FF0C07"/>
          </w:tcPr>
          <w:p>
            <w:pPr>
              <w:jc w:val="center"/>
              <w:ind w:left="1844"/>
              <w:spacing w:after="0"/>
              <w:rPr>
                <w:sz w:val="20"/>
                <w:szCs w:val="20"/>
                <w:color w:val="auto"/>
              </w:rPr>
            </w:pPr>
            <w:r>
              <w:rPr>
                <w:rFonts w:ascii="Arial" w:cs="Arial" w:eastAsia="Arial" w:hAnsi="Arial"/>
                <w:sz w:val="14"/>
                <w:szCs w:val="14"/>
                <w:b w:val="1"/>
                <w:bCs w:val="1"/>
                <w:color w:val="FFFFFF"/>
              </w:rPr>
              <w:t>Unvested</w:t>
            </w:r>
          </w:p>
        </w:tc>
        <w:tc>
          <w:tcPr>
            <w:tcW w:w="1300" w:type="dxa"/>
            <w:vAlign w:val="bottom"/>
            <w:shd w:val="clear" w:color="auto" w:fill="FF0C07"/>
          </w:tcPr>
          <w:p>
            <w:pPr>
              <w:jc w:val="center"/>
              <w:ind w:left="64"/>
              <w:spacing w:after="0"/>
              <w:rPr>
                <w:sz w:val="20"/>
                <w:szCs w:val="20"/>
                <w:color w:val="auto"/>
              </w:rPr>
            </w:pPr>
            <w:r>
              <w:rPr>
                <w:rFonts w:ascii="Arial" w:cs="Arial" w:eastAsia="Arial" w:hAnsi="Arial"/>
                <w:sz w:val="14"/>
                <w:szCs w:val="14"/>
                <w:b w:val="1"/>
                <w:bCs w:val="1"/>
                <w:color w:val="FFFFFF"/>
              </w:rPr>
              <w:t>Outstanding</w:t>
            </w:r>
          </w:p>
        </w:tc>
      </w:tr>
      <w:tr>
        <w:trPr>
          <w:trHeight w:val="162"/>
        </w:trPr>
        <w:tc>
          <w:tcPr>
            <w:tcW w:w="3760" w:type="dxa"/>
            <w:vAlign w:val="bottom"/>
            <w:shd w:val="clear" w:color="auto" w:fill="FF0C07"/>
          </w:tcPr>
          <w:p>
            <w:pPr>
              <w:spacing w:after="0"/>
              <w:rPr>
                <w:sz w:val="14"/>
                <w:szCs w:val="14"/>
                <w:color w:val="auto"/>
              </w:rPr>
            </w:pPr>
          </w:p>
        </w:tc>
        <w:tc>
          <w:tcPr>
            <w:tcW w:w="3300" w:type="dxa"/>
            <w:vAlign w:val="bottom"/>
            <w:shd w:val="clear" w:color="auto" w:fill="FF0C07"/>
          </w:tcPr>
          <w:p>
            <w:pPr>
              <w:jc w:val="center"/>
              <w:ind w:left="1844"/>
              <w:spacing w:after="0"/>
              <w:rPr>
                <w:sz w:val="20"/>
                <w:szCs w:val="20"/>
                <w:color w:val="auto"/>
              </w:rPr>
            </w:pPr>
            <w:r>
              <w:rPr>
                <w:rFonts w:ascii="Arial" w:cs="Arial" w:eastAsia="Arial" w:hAnsi="Arial"/>
                <w:sz w:val="14"/>
                <w:szCs w:val="14"/>
                <w:b w:val="1"/>
                <w:bCs w:val="1"/>
                <w:color w:val="FFFFFF"/>
                <w:w w:val="99"/>
              </w:rPr>
              <w:t>Stock</w:t>
            </w:r>
          </w:p>
        </w:tc>
        <w:tc>
          <w:tcPr>
            <w:tcW w:w="1300" w:type="dxa"/>
            <w:vAlign w:val="bottom"/>
            <w:shd w:val="clear" w:color="auto" w:fill="FF0C07"/>
          </w:tcPr>
          <w:p>
            <w:pPr>
              <w:jc w:val="center"/>
              <w:ind w:left="84"/>
              <w:spacing w:after="0"/>
              <w:rPr>
                <w:sz w:val="20"/>
                <w:szCs w:val="20"/>
                <w:color w:val="auto"/>
              </w:rPr>
            </w:pPr>
            <w:r>
              <w:rPr>
                <w:rFonts w:ascii="Arial" w:cs="Arial" w:eastAsia="Arial" w:hAnsi="Arial"/>
                <w:sz w:val="14"/>
                <w:szCs w:val="14"/>
                <w:b w:val="1"/>
                <w:bCs w:val="1"/>
                <w:color w:val="FFFFFF"/>
              </w:rPr>
              <w:t>Option</w:t>
            </w:r>
          </w:p>
        </w:tc>
      </w:tr>
      <w:tr>
        <w:trPr>
          <w:trHeight w:val="185"/>
        </w:trPr>
        <w:tc>
          <w:tcPr>
            <w:tcW w:w="3760" w:type="dxa"/>
            <w:vAlign w:val="bottom"/>
            <w:shd w:val="clear" w:color="auto" w:fill="FF0C07"/>
          </w:tcPr>
          <w:p>
            <w:pPr>
              <w:ind w:left="80"/>
              <w:spacing w:after="0"/>
              <w:rPr>
                <w:sz w:val="20"/>
                <w:szCs w:val="20"/>
                <w:color w:val="auto"/>
              </w:rPr>
            </w:pPr>
            <w:r>
              <w:rPr>
                <w:rFonts w:ascii="Arial" w:cs="Arial" w:eastAsia="Arial" w:hAnsi="Arial"/>
                <w:sz w:val="14"/>
                <w:szCs w:val="14"/>
                <w:b w:val="1"/>
                <w:bCs w:val="1"/>
                <w:color w:val="FFFFFF"/>
              </w:rPr>
              <w:t>Name</w:t>
            </w:r>
          </w:p>
        </w:tc>
        <w:tc>
          <w:tcPr>
            <w:tcW w:w="3300" w:type="dxa"/>
            <w:vAlign w:val="bottom"/>
            <w:shd w:val="clear" w:color="auto" w:fill="FF0C07"/>
          </w:tcPr>
          <w:p>
            <w:pPr>
              <w:jc w:val="center"/>
              <w:ind w:left="1844"/>
              <w:spacing w:after="0"/>
              <w:rPr>
                <w:sz w:val="20"/>
                <w:szCs w:val="20"/>
                <w:color w:val="auto"/>
              </w:rPr>
            </w:pPr>
            <w:r>
              <w:rPr>
                <w:rFonts w:ascii="Arial" w:cs="Arial" w:eastAsia="Arial" w:hAnsi="Arial"/>
                <w:sz w:val="14"/>
                <w:szCs w:val="14"/>
                <w:b w:val="1"/>
                <w:bCs w:val="1"/>
                <w:color w:val="FFFFFF"/>
                <w:w w:val="98"/>
              </w:rPr>
              <w:t>Awards</w:t>
            </w:r>
          </w:p>
        </w:tc>
        <w:tc>
          <w:tcPr>
            <w:tcW w:w="1300" w:type="dxa"/>
            <w:vAlign w:val="bottom"/>
            <w:shd w:val="clear" w:color="auto" w:fill="FF0C07"/>
          </w:tcPr>
          <w:p>
            <w:pPr>
              <w:jc w:val="center"/>
              <w:ind w:left="64"/>
              <w:spacing w:after="0"/>
              <w:rPr>
                <w:sz w:val="20"/>
                <w:szCs w:val="20"/>
                <w:color w:val="auto"/>
              </w:rPr>
            </w:pPr>
            <w:r>
              <w:rPr>
                <w:rFonts w:ascii="Arial" w:cs="Arial" w:eastAsia="Arial" w:hAnsi="Arial"/>
                <w:sz w:val="14"/>
                <w:szCs w:val="14"/>
                <w:b w:val="1"/>
                <w:bCs w:val="1"/>
                <w:color w:val="FFFFFF"/>
              </w:rPr>
              <w:t>Awards</w:t>
            </w:r>
          </w:p>
        </w:tc>
      </w:tr>
      <w:tr>
        <w:trPr>
          <w:trHeight w:val="215"/>
        </w:trPr>
        <w:tc>
          <w:tcPr>
            <w:tcW w:w="3760" w:type="dxa"/>
            <w:vAlign w:val="bottom"/>
          </w:tcPr>
          <w:p>
            <w:pPr>
              <w:ind w:left="80"/>
              <w:spacing w:after="0"/>
              <w:rPr>
                <w:sz w:val="20"/>
                <w:szCs w:val="20"/>
                <w:color w:val="auto"/>
              </w:rPr>
            </w:pPr>
            <w:r>
              <w:rPr>
                <w:rFonts w:ascii="Arial" w:cs="Arial" w:eastAsia="Arial" w:hAnsi="Arial"/>
                <w:sz w:val="16"/>
                <w:szCs w:val="16"/>
                <w:color w:val="auto"/>
              </w:rPr>
              <w:t>Sandra E. Bergeron</w:t>
            </w:r>
          </w:p>
        </w:tc>
        <w:tc>
          <w:tcPr>
            <w:tcW w:w="3300" w:type="dxa"/>
            <w:vAlign w:val="bottom"/>
          </w:tcPr>
          <w:p>
            <w:pPr>
              <w:jc w:val="right"/>
              <w:ind w:right="244"/>
              <w:spacing w:after="0"/>
              <w:rPr>
                <w:sz w:val="20"/>
                <w:szCs w:val="20"/>
                <w:color w:val="auto"/>
              </w:rPr>
            </w:pPr>
            <w:r>
              <w:rPr>
                <w:rFonts w:ascii="Arial" w:cs="Arial" w:eastAsia="Arial" w:hAnsi="Arial"/>
                <w:sz w:val="16"/>
                <w:szCs w:val="16"/>
                <w:color w:val="auto"/>
              </w:rPr>
              <w:t>1,556</w:t>
            </w:r>
          </w:p>
        </w:tc>
        <w:tc>
          <w:tcPr>
            <w:tcW w:w="130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283"/>
        </w:trPr>
        <w:tc>
          <w:tcPr>
            <w:tcW w:w="3760" w:type="dxa"/>
            <w:vAlign w:val="bottom"/>
          </w:tcPr>
          <w:p>
            <w:pPr>
              <w:ind w:left="80"/>
              <w:spacing w:after="0"/>
              <w:rPr>
                <w:sz w:val="20"/>
                <w:szCs w:val="20"/>
                <w:color w:val="auto"/>
              </w:rPr>
            </w:pPr>
            <w:r>
              <w:rPr>
                <w:rFonts w:ascii="Arial" w:cs="Arial" w:eastAsia="Arial" w:hAnsi="Arial"/>
                <w:sz w:val="16"/>
                <w:szCs w:val="16"/>
                <w:color w:val="auto"/>
              </w:rPr>
              <w:t>William Berutti</w:t>
            </w:r>
          </w:p>
        </w:tc>
        <w:tc>
          <w:tcPr>
            <w:tcW w:w="3300" w:type="dxa"/>
            <w:vAlign w:val="bottom"/>
          </w:tcPr>
          <w:p>
            <w:pPr>
              <w:jc w:val="right"/>
              <w:ind w:right="244"/>
              <w:spacing w:after="0"/>
              <w:rPr>
                <w:sz w:val="20"/>
                <w:szCs w:val="20"/>
                <w:color w:val="auto"/>
              </w:rPr>
            </w:pPr>
            <w:r>
              <w:rPr>
                <w:rFonts w:ascii="Arial" w:cs="Arial" w:eastAsia="Arial" w:hAnsi="Arial"/>
                <w:sz w:val="16"/>
                <w:szCs w:val="16"/>
                <w:color w:val="auto"/>
              </w:rPr>
              <w:t>3,759</w:t>
            </w:r>
          </w:p>
        </w:tc>
        <w:tc>
          <w:tcPr>
            <w:tcW w:w="130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297"/>
        </w:trPr>
        <w:tc>
          <w:tcPr>
            <w:tcW w:w="3760" w:type="dxa"/>
            <w:vAlign w:val="bottom"/>
          </w:tcPr>
          <w:p>
            <w:pPr>
              <w:ind w:left="80"/>
              <w:spacing w:after="0"/>
              <w:rPr>
                <w:sz w:val="20"/>
                <w:szCs w:val="20"/>
                <w:color w:val="auto"/>
              </w:rPr>
            </w:pPr>
            <w:r>
              <w:rPr>
                <w:rFonts w:ascii="Arial" w:cs="Arial" w:eastAsia="Arial" w:hAnsi="Arial"/>
                <w:sz w:val="16"/>
                <w:szCs w:val="16"/>
                <w:color w:val="auto"/>
              </w:rPr>
              <w:t>Jeffrey P. Hank</w:t>
            </w:r>
          </w:p>
        </w:tc>
        <w:tc>
          <w:tcPr>
            <w:tcW w:w="3300" w:type="dxa"/>
            <w:vAlign w:val="bottom"/>
          </w:tcPr>
          <w:p>
            <w:pPr>
              <w:jc w:val="right"/>
              <w:ind w:right="244"/>
              <w:spacing w:after="0"/>
              <w:rPr>
                <w:sz w:val="20"/>
                <w:szCs w:val="20"/>
                <w:color w:val="auto"/>
              </w:rPr>
            </w:pPr>
            <w:r>
              <w:rPr>
                <w:rFonts w:ascii="Arial" w:cs="Arial" w:eastAsia="Arial" w:hAnsi="Arial"/>
                <w:sz w:val="16"/>
                <w:szCs w:val="16"/>
                <w:color w:val="auto"/>
              </w:rPr>
              <w:t>1,556</w:t>
            </w:r>
          </w:p>
        </w:tc>
        <w:tc>
          <w:tcPr>
            <w:tcW w:w="1300" w:type="dxa"/>
            <w:vAlign w:val="bottom"/>
          </w:tcPr>
          <w:p>
            <w:pPr>
              <w:ind w:left="660"/>
              <w:spacing w:after="0"/>
              <w:rPr>
                <w:sz w:val="20"/>
                <w:szCs w:val="20"/>
                <w:color w:val="auto"/>
              </w:rPr>
            </w:pPr>
            <w:r>
              <w:rPr>
                <w:rFonts w:ascii="Arial" w:cs="Arial" w:eastAsia="Arial" w:hAnsi="Arial"/>
                <w:sz w:val="16"/>
                <w:szCs w:val="16"/>
                <w:color w:val="auto"/>
              </w:rPr>
              <w:t>12,000</w:t>
            </w:r>
          </w:p>
        </w:tc>
      </w:tr>
      <w:tr>
        <w:trPr>
          <w:trHeight w:val="297"/>
        </w:trPr>
        <w:tc>
          <w:tcPr>
            <w:tcW w:w="3760" w:type="dxa"/>
            <w:vAlign w:val="bottom"/>
          </w:tcPr>
          <w:p>
            <w:pPr>
              <w:ind w:left="80"/>
              <w:spacing w:after="0"/>
              <w:rPr>
                <w:sz w:val="20"/>
                <w:szCs w:val="20"/>
                <w:color w:val="auto"/>
              </w:rPr>
            </w:pPr>
            <w:r>
              <w:rPr>
                <w:rFonts w:ascii="Arial" w:cs="Arial" w:eastAsia="Arial" w:hAnsi="Arial"/>
                <w:sz w:val="16"/>
                <w:szCs w:val="16"/>
                <w:color w:val="auto"/>
              </w:rPr>
              <w:t>General Peter Pace</w:t>
            </w:r>
          </w:p>
        </w:tc>
        <w:tc>
          <w:tcPr>
            <w:tcW w:w="3300" w:type="dxa"/>
            <w:vAlign w:val="bottom"/>
          </w:tcPr>
          <w:p>
            <w:pPr>
              <w:jc w:val="right"/>
              <w:ind w:right="244"/>
              <w:spacing w:after="0"/>
              <w:rPr>
                <w:sz w:val="20"/>
                <w:szCs w:val="20"/>
                <w:color w:val="auto"/>
              </w:rPr>
            </w:pPr>
            <w:r>
              <w:rPr>
                <w:rFonts w:ascii="Arial" w:cs="Arial" w:eastAsia="Arial" w:hAnsi="Arial"/>
                <w:sz w:val="16"/>
                <w:szCs w:val="16"/>
                <w:color w:val="auto"/>
              </w:rPr>
              <w:t>1,556</w:t>
            </w:r>
          </w:p>
        </w:tc>
        <w:tc>
          <w:tcPr>
            <w:tcW w:w="130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297"/>
        </w:trPr>
        <w:tc>
          <w:tcPr>
            <w:tcW w:w="3760" w:type="dxa"/>
            <w:vAlign w:val="bottom"/>
          </w:tcPr>
          <w:p>
            <w:pPr>
              <w:ind w:left="80"/>
              <w:spacing w:after="0"/>
              <w:rPr>
                <w:sz w:val="20"/>
                <w:szCs w:val="20"/>
                <w:color w:val="auto"/>
              </w:rPr>
            </w:pPr>
            <w:r>
              <w:rPr>
                <w:rFonts w:ascii="Arial" w:cs="Arial" w:eastAsia="Arial" w:hAnsi="Arial"/>
                <w:sz w:val="16"/>
                <w:szCs w:val="16"/>
                <w:color w:val="auto"/>
              </w:rPr>
              <w:t>Wendy M. Pfeiffer</w:t>
            </w:r>
          </w:p>
        </w:tc>
        <w:tc>
          <w:tcPr>
            <w:tcW w:w="3300" w:type="dxa"/>
            <w:vAlign w:val="bottom"/>
          </w:tcPr>
          <w:p>
            <w:pPr>
              <w:jc w:val="right"/>
              <w:ind w:right="244"/>
              <w:spacing w:after="0"/>
              <w:rPr>
                <w:sz w:val="20"/>
                <w:szCs w:val="20"/>
                <w:color w:val="auto"/>
              </w:rPr>
            </w:pPr>
            <w:r>
              <w:rPr>
                <w:rFonts w:ascii="Arial" w:cs="Arial" w:eastAsia="Arial" w:hAnsi="Arial"/>
                <w:sz w:val="16"/>
                <w:szCs w:val="16"/>
                <w:color w:val="auto"/>
              </w:rPr>
              <w:t>1,556</w:t>
            </w:r>
          </w:p>
        </w:tc>
        <w:tc>
          <w:tcPr>
            <w:tcW w:w="130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297"/>
        </w:trPr>
        <w:tc>
          <w:tcPr>
            <w:tcW w:w="3760" w:type="dxa"/>
            <w:vAlign w:val="bottom"/>
          </w:tcPr>
          <w:p>
            <w:pPr>
              <w:ind w:left="80"/>
              <w:spacing w:after="0"/>
              <w:rPr>
                <w:sz w:val="20"/>
                <w:szCs w:val="20"/>
                <w:color w:val="auto"/>
              </w:rPr>
            </w:pPr>
            <w:r>
              <w:rPr>
                <w:rFonts w:ascii="Arial" w:cs="Arial" w:eastAsia="Arial" w:hAnsi="Arial"/>
                <w:sz w:val="16"/>
                <w:szCs w:val="16"/>
                <w:color w:val="auto"/>
              </w:rPr>
              <w:t>Kristi M. Rogers</w:t>
            </w:r>
          </w:p>
        </w:tc>
        <w:tc>
          <w:tcPr>
            <w:tcW w:w="3300" w:type="dxa"/>
            <w:vAlign w:val="bottom"/>
          </w:tcPr>
          <w:p>
            <w:pPr>
              <w:jc w:val="right"/>
              <w:ind w:right="244"/>
              <w:spacing w:after="0"/>
              <w:rPr>
                <w:sz w:val="20"/>
                <w:szCs w:val="20"/>
                <w:color w:val="auto"/>
              </w:rPr>
            </w:pPr>
            <w:r>
              <w:rPr>
                <w:rFonts w:ascii="Arial" w:cs="Arial" w:eastAsia="Arial" w:hAnsi="Arial"/>
                <w:sz w:val="16"/>
                <w:szCs w:val="16"/>
                <w:color w:val="auto"/>
              </w:rPr>
              <w:t>1,556</w:t>
            </w:r>
          </w:p>
        </w:tc>
        <w:tc>
          <w:tcPr>
            <w:tcW w:w="130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297"/>
        </w:trPr>
        <w:tc>
          <w:tcPr>
            <w:tcW w:w="3760" w:type="dxa"/>
            <w:vAlign w:val="bottom"/>
          </w:tcPr>
          <w:p>
            <w:pPr>
              <w:ind w:left="80"/>
              <w:spacing w:after="0"/>
              <w:rPr>
                <w:sz w:val="20"/>
                <w:szCs w:val="20"/>
                <w:color w:val="auto"/>
              </w:rPr>
            </w:pPr>
            <w:r>
              <w:rPr>
                <w:rFonts w:ascii="Arial" w:cs="Arial" w:eastAsia="Arial" w:hAnsi="Arial"/>
                <w:sz w:val="16"/>
                <w:szCs w:val="16"/>
                <w:color w:val="auto"/>
              </w:rPr>
              <w:t>John Zangardi</w:t>
            </w:r>
          </w:p>
        </w:tc>
        <w:tc>
          <w:tcPr>
            <w:tcW w:w="3300" w:type="dxa"/>
            <w:vAlign w:val="bottom"/>
          </w:tcPr>
          <w:p>
            <w:pPr>
              <w:jc w:val="right"/>
              <w:ind w:right="244"/>
              <w:spacing w:after="0"/>
              <w:rPr>
                <w:sz w:val="20"/>
                <w:szCs w:val="20"/>
                <w:color w:val="auto"/>
              </w:rPr>
            </w:pPr>
            <w:r>
              <w:rPr>
                <w:rFonts w:ascii="Arial" w:cs="Arial" w:eastAsia="Arial" w:hAnsi="Arial"/>
                <w:sz w:val="16"/>
                <w:szCs w:val="16"/>
                <w:color w:val="auto"/>
              </w:rPr>
              <w:t>2,846</w:t>
            </w:r>
          </w:p>
        </w:tc>
        <w:tc>
          <w:tcPr>
            <w:tcW w:w="1300" w:type="dxa"/>
            <w:vAlign w:val="bottom"/>
          </w:tcPr>
          <w:p>
            <w:pPr>
              <w:ind w:left="900"/>
              <w:spacing w:after="0"/>
              <w:rPr>
                <w:sz w:val="20"/>
                <w:szCs w:val="20"/>
                <w:color w:val="auto"/>
              </w:rPr>
            </w:pPr>
            <w:r>
              <w:rPr>
                <w:rFonts w:ascii="Arial" w:cs="Arial" w:eastAsia="Arial" w:hAnsi="Arial"/>
                <w:sz w:val="16"/>
                <w:szCs w:val="16"/>
                <w:color w:val="auto"/>
              </w:rPr>
              <w:t>—</w:t>
            </w:r>
          </w:p>
        </w:tc>
      </w:tr>
    </w:tbl>
    <w:p>
      <w:pPr>
        <w:spacing w:after="0" w:line="96"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Ms. Bergeron retired from the Board on January 28, 2023.</w:t>
      </w:r>
    </w:p>
    <w:p>
      <w:pPr>
        <w:spacing w:after="0" w:line="126" w:lineRule="exact"/>
        <w:rPr>
          <w:rFonts w:ascii="Arial" w:cs="Arial" w:eastAsia="Arial" w:hAnsi="Arial"/>
          <w:sz w:val="16"/>
          <w:szCs w:val="16"/>
          <w:color w:val="auto"/>
        </w:rPr>
      </w:pPr>
    </w:p>
    <w:p>
      <w:pPr>
        <w:ind w:left="424" w:right="220" w:hanging="424"/>
        <w:spacing w:after="0" w:line="266" w:lineRule="auto"/>
        <w:tabs>
          <w:tab w:leader="none" w:pos="4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June 8, 2022, each of Ms. Bergeron, Mr. Hank, Gen. Pace, Ms. Pfeiffer, Ms. Rogers, Mr. Berutti and Dr. Zangardi was granted an award of 1,556 restricted stock units, which vest on the earlier of (i) June 8, 2023 or (ii) the day before our 2023 annual meeting of stockholders, subject to the applicable director’s continued service to us.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96"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Upon Ms. Bergeron’s resignation on January 28, 2023, all of her granted awards accelerated and vested.</w:t>
      </w: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Non-Employee Director Compensation Program</w:t>
      </w:r>
    </w:p>
    <w:p>
      <w:pPr>
        <w:spacing w:after="0" w:line="102" w:lineRule="exact"/>
        <w:rPr>
          <w:sz w:val="20"/>
          <w:szCs w:val="20"/>
          <w:color w:val="auto"/>
        </w:rPr>
      </w:pPr>
    </w:p>
    <w:p>
      <w:pPr>
        <w:ind w:right="100" w:firstLine="440"/>
        <w:spacing w:after="0"/>
        <w:rPr>
          <w:sz w:val="20"/>
          <w:szCs w:val="20"/>
          <w:color w:val="auto"/>
        </w:rPr>
      </w:pPr>
      <w:r>
        <w:rPr>
          <w:rFonts w:ascii="Arial" w:cs="Arial" w:eastAsia="Arial" w:hAnsi="Arial"/>
          <w:sz w:val="18"/>
          <w:szCs w:val="18"/>
          <w:color w:val="auto"/>
        </w:rPr>
        <w:t>Our Compensation and Talent Committee is responsible for reviewing and making recommendations with respect to the compensation of our non-employee directors. The committee’s practice is to engage a compensation consultant every year to conduct a full review and benchmarking (using the same peer group used to benchmark executive compensation) of our non-employee directors’ compensation in order to ensure that our directors’ compensation is in line with peer companies competing for director talent. Our current non-employee director compensation program was reviewed and approved in 2022 in connection with input from Compensia, Inc., an independent compensation advisor. To improve the competitiveness of our program compared with our peer group, changes to the Director compensation program were approved in October 2022 and consisted of the following:</w:t>
      </w:r>
    </w:p>
    <w:p>
      <w:pPr>
        <w:spacing w:after="0" w:line="90" w:lineRule="exact"/>
        <w:rPr>
          <w:sz w:val="20"/>
          <w:szCs w:val="20"/>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the Board member cash retainer from $30,000 to $35,000</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the Audit and Risk Committee member retainer from $8,000 to $10,000</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the Compensation and Talent Committee Chair retainer from $12,000 to $15,000</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the Compensation and Talent Committee member retainer from $5,000 to $7,500</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the Nominating and ESG Committee Chair retainer from $7,500 to $10,000</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the Nominating and ESG Committee member retainer from $4,000 to $5,000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These changes became effective as of October 27, 2022.</w:t>
      </w:r>
    </w:p>
    <w:p>
      <w:pPr>
        <w:spacing w:after="0" w:line="32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Compensation</w:t>
      </w:r>
    </w:p>
    <w:p>
      <w:pPr>
        <w:spacing w:after="0" w:line="102" w:lineRule="exact"/>
        <w:rPr>
          <w:sz w:val="20"/>
          <w:szCs w:val="20"/>
          <w:color w:val="auto"/>
        </w:rPr>
      </w:pPr>
    </w:p>
    <w:p>
      <w:pPr>
        <w:ind w:right="60" w:firstLine="440"/>
        <w:spacing w:after="0" w:line="244" w:lineRule="auto"/>
        <w:rPr>
          <w:sz w:val="20"/>
          <w:szCs w:val="20"/>
          <w:color w:val="auto"/>
        </w:rPr>
      </w:pPr>
      <w:r>
        <w:rPr>
          <w:rFonts w:ascii="Arial" w:cs="Arial" w:eastAsia="Arial" w:hAnsi="Arial"/>
          <w:sz w:val="18"/>
          <w:szCs w:val="18"/>
          <w:color w:val="auto"/>
        </w:rPr>
        <w:t>Upon joining our board of directors, each newly elected non-employee director will be granted an award of restricted stock units with an intended “value” (based on the average of the closing prices of our common stock for the 30 trading days ending one week before the applicable grant date) of $420,000 (the “Initial Award”), which may be different from the award’s actual grant date fair value. An Initial Award will vest in three equal annual installments on each of the first three anniversaries of the first day of the month following the month that the director joins the board, subject to continued service to us through each vesting date.</w:t>
      </w:r>
    </w:p>
    <w:p>
      <w:pPr>
        <w:spacing w:after="0" w:line="176"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On the date of each annual meeting of stockholders, each non-employee director who has served on our board of directors for at least six months prior to such date will be granted an award of restricted stock units with an intended “value” (based on the average of the closing prices of our common stock for the 30 trading days ending one week before the applicable grant date) of $200,000 (the “Annual Award”), which may be different from the award’s actual grant date fair value. Annual Awards will vest on the earlier of the first anniversary of its grant date or the day before the next annual meeting of stockholders, subject to continued service to us through the applicable vesting date.</w:t>
      </w:r>
    </w:p>
    <w:p>
      <w:pPr>
        <w:spacing w:after="0" w:line="179" w:lineRule="exact"/>
        <w:rPr>
          <w:sz w:val="20"/>
          <w:szCs w:val="20"/>
          <w:color w:val="auto"/>
        </w:rPr>
      </w:pPr>
    </w:p>
    <w:p>
      <w:pPr>
        <w:ind w:right="140" w:firstLine="440"/>
        <w:spacing w:after="0" w:line="271" w:lineRule="auto"/>
        <w:rPr>
          <w:sz w:val="20"/>
          <w:szCs w:val="20"/>
          <w:color w:val="auto"/>
        </w:rPr>
      </w:pPr>
      <w:r>
        <w:rPr>
          <w:rFonts w:ascii="Arial" w:cs="Arial" w:eastAsia="Arial" w:hAnsi="Arial"/>
          <w:sz w:val="18"/>
          <w:szCs w:val="18"/>
          <w:color w:val="auto"/>
        </w:rPr>
        <w:t>Notwithstanding the vesting schedules described above, the vesting of each Initial Award and each Annual Award will accelerate in full upon a “change in control” (as defined in our 2012 Equity Incentive Plan) of Qualys.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Compensation</w:t>
      </w:r>
    </w:p>
    <w:p>
      <w:pPr>
        <w:spacing w:after="0" w:line="102" w:lineRule="exact"/>
        <w:rPr>
          <w:sz w:val="20"/>
          <w:szCs w:val="20"/>
          <w:color w:val="auto"/>
        </w:rPr>
      </w:pPr>
    </w:p>
    <w:p>
      <w:pPr>
        <w:ind w:right="100" w:firstLine="440"/>
        <w:spacing w:after="0" w:line="271" w:lineRule="auto"/>
        <w:rPr>
          <w:sz w:val="20"/>
          <w:szCs w:val="20"/>
          <w:color w:val="auto"/>
        </w:rPr>
      </w:pPr>
      <w:r>
        <w:rPr>
          <w:rFonts w:ascii="Arial" w:cs="Arial" w:eastAsia="Arial" w:hAnsi="Arial"/>
          <w:sz w:val="18"/>
          <w:szCs w:val="18"/>
          <w:color w:val="auto"/>
        </w:rPr>
        <w:t>Our non-employee director compensation program provides that each year, each non-employee director will receive a cash retainer of $35,000 for serving on our board of directors (the “Annual</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96"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Retainer”). In addition to the Annual Retainer, the non-employee Chair of the Board is entitled to an additional cash retainer of $50,000.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chairpersons and members of our board’s three standing committees are entitled to the following cash retainers each year:</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500" w:type="dxa"/>
            <w:vAlign w:val="bottom"/>
            <w:shd w:val="clear" w:color="auto" w:fill="FF0C07"/>
          </w:tcPr>
          <w:p>
            <w:pPr>
              <w:spacing w:after="0"/>
              <w:rPr>
                <w:sz w:val="14"/>
                <w:szCs w:val="14"/>
                <w:color w:val="auto"/>
              </w:rPr>
            </w:pPr>
          </w:p>
        </w:tc>
        <w:tc>
          <w:tcPr>
            <w:tcW w:w="2640" w:type="dxa"/>
            <w:vAlign w:val="bottom"/>
            <w:shd w:val="clear" w:color="auto" w:fill="FF0C07"/>
          </w:tcPr>
          <w:p>
            <w:pPr>
              <w:jc w:val="right"/>
              <w:ind w:right="157"/>
              <w:spacing w:after="0"/>
              <w:rPr>
                <w:sz w:val="20"/>
                <w:szCs w:val="20"/>
                <w:color w:val="auto"/>
              </w:rPr>
            </w:pPr>
            <w:r>
              <w:rPr>
                <w:rFonts w:ascii="Arial" w:cs="Arial" w:eastAsia="Arial" w:hAnsi="Arial"/>
                <w:sz w:val="14"/>
                <w:szCs w:val="14"/>
                <w:b w:val="1"/>
                <w:bCs w:val="1"/>
                <w:color w:val="FFFFFF"/>
              </w:rPr>
              <w:t>Chairperson</w:t>
            </w:r>
          </w:p>
        </w:tc>
        <w:tc>
          <w:tcPr>
            <w:tcW w:w="1220" w:type="dxa"/>
            <w:vAlign w:val="bottom"/>
            <w:shd w:val="clear" w:color="auto" w:fill="FF0C07"/>
          </w:tcPr>
          <w:p>
            <w:pPr>
              <w:jc w:val="right"/>
              <w:ind w:right="277"/>
              <w:spacing w:after="0"/>
              <w:rPr>
                <w:sz w:val="20"/>
                <w:szCs w:val="20"/>
                <w:color w:val="auto"/>
              </w:rPr>
            </w:pPr>
            <w:r>
              <w:rPr>
                <w:rFonts w:ascii="Arial" w:cs="Arial" w:eastAsia="Arial" w:hAnsi="Arial"/>
                <w:sz w:val="14"/>
                <w:szCs w:val="14"/>
                <w:b w:val="1"/>
                <w:bCs w:val="1"/>
                <w:color w:val="FFFFFF"/>
              </w:rPr>
              <w:t>Member</w:t>
            </w:r>
          </w:p>
        </w:tc>
      </w:tr>
      <w:tr>
        <w:trPr>
          <w:trHeight w:val="185"/>
        </w:trPr>
        <w:tc>
          <w:tcPr>
            <w:tcW w:w="4500" w:type="dxa"/>
            <w:vAlign w:val="bottom"/>
            <w:shd w:val="clear" w:color="auto" w:fill="FF0C07"/>
          </w:tcPr>
          <w:p>
            <w:pPr>
              <w:ind w:left="80"/>
              <w:spacing w:after="0"/>
              <w:rPr>
                <w:sz w:val="20"/>
                <w:szCs w:val="20"/>
                <w:color w:val="auto"/>
              </w:rPr>
            </w:pPr>
            <w:r>
              <w:rPr>
                <w:rFonts w:ascii="Arial" w:cs="Arial" w:eastAsia="Arial" w:hAnsi="Arial"/>
                <w:sz w:val="14"/>
                <w:szCs w:val="14"/>
                <w:b w:val="1"/>
                <w:bCs w:val="1"/>
                <w:color w:val="FFFFFF"/>
              </w:rPr>
              <w:t>Board Committee</w:t>
            </w:r>
          </w:p>
        </w:tc>
        <w:tc>
          <w:tcPr>
            <w:tcW w:w="2640" w:type="dxa"/>
            <w:vAlign w:val="bottom"/>
            <w:shd w:val="clear" w:color="auto" w:fill="FF0C07"/>
          </w:tcPr>
          <w:p>
            <w:pPr>
              <w:jc w:val="right"/>
              <w:ind w:right="277"/>
              <w:spacing w:after="0"/>
              <w:rPr>
                <w:sz w:val="20"/>
                <w:szCs w:val="20"/>
                <w:color w:val="auto"/>
              </w:rPr>
            </w:pPr>
            <w:r>
              <w:rPr>
                <w:rFonts w:ascii="Arial" w:cs="Arial" w:eastAsia="Arial" w:hAnsi="Arial"/>
                <w:sz w:val="14"/>
                <w:szCs w:val="14"/>
                <w:b w:val="1"/>
                <w:bCs w:val="1"/>
                <w:color w:val="FFFFFF"/>
              </w:rPr>
              <w:t>Retainer</w:t>
            </w:r>
          </w:p>
        </w:tc>
        <w:tc>
          <w:tcPr>
            <w:tcW w:w="1220" w:type="dxa"/>
            <w:vAlign w:val="bottom"/>
            <w:shd w:val="clear" w:color="auto" w:fill="FF0C07"/>
          </w:tcPr>
          <w:p>
            <w:pPr>
              <w:jc w:val="right"/>
              <w:ind w:right="277"/>
              <w:spacing w:after="0"/>
              <w:rPr>
                <w:sz w:val="20"/>
                <w:szCs w:val="20"/>
                <w:color w:val="auto"/>
              </w:rPr>
            </w:pPr>
            <w:r>
              <w:rPr>
                <w:rFonts w:ascii="Arial" w:cs="Arial" w:eastAsia="Arial" w:hAnsi="Arial"/>
                <w:sz w:val="14"/>
                <w:szCs w:val="14"/>
                <w:b w:val="1"/>
                <w:bCs w:val="1"/>
                <w:color w:val="FFFFFF"/>
              </w:rPr>
              <w:t>Retainer</w:t>
            </w:r>
          </w:p>
        </w:tc>
      </w:tr>
      <w:tr>
        <w:trPr>
          <w:trHeight w:val="239"/>
        </w:trPr>
        <w:tc>
          <w:tcPr>
            <w:tcW w:w="4500" w:type="dxa"/>
            <w:vAlign w:val="bottom"/>
          </w:tcPr>
          <w:p>
            <w:pPr>
              <w:spacing w:after="0"/>
              <w:rPr>
                <w:sz w:val="20"/>
                <w:szCs w:val="20"/>
                <w:color w:val="auto"/>
              </w:rPr>
            </w:pPr>
            <w:r>
              <w:rPr>
                <w:rFonts w:ascii="Arial" w:cs="Arial" w:eastAsia="Arial" w:hAnsi="Arial"/>
                <w:sz w:val="18"/>
                <w:szCs w:val="18"/>
                <w:color w:val="auto"/>
              </w:rPr>
              <w:t>Audit and Risk Committee</w:t>
            </w:r>
          </w:p>
        </w:tc>
        <w:tc>
          <w:tcPr>
            <w:tcW w:w="2640" w:type="dxa"/>
            <w:vAlign w:val="bottom"/>
          </w:tcPr>
          <w:p>
            <w:pPr>
              <w:jc w:val="right"/>
              <w:ind w:right="137"/>
              <w:spacing w:after="0"/>
              <w:rPr>
                <w:sz w:val="20"/>
                <w:szCs w:val="20"/>
                <w:color w:val="auto"/>
              </w:rPr>
            </w:pPr>
            <w:r>
              <w:rPr>
                <w:rFonts w:ascii="Arial" w:cs="Arial" w:eastAsia="Arial" w:hAnsi="Arial"/>
                <w:sz w:val="18"/>
                <w:szCs w:val="18"/>
                <w:color w:val="auto"/>
              </w:rPr>
              <w:t>$  20,000</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$10,000</w:t>
            </w:r>
          </w:p>
        </w:tc>
      </w:tr>
      <w:tr>
        <w:trPr>
          <w:trHeight w:val="292"/>
        </w:trPr>
        <w:tc>
          <w:tcPr>
            <w:tcW w:w="4500" w:type="dxa"/>
            <w:vAlign w:val="bottom"/>
          </w:tcPr>
          <w:p>
            <w:pPr>
              <w:spacing w:after="0"/>
              <w:rPr>
                <w:sz w:val="20"/>
                <w:szCs w:val="20"/>
                <w:color w:val="auto"/>
              </w:rPr>
            </w:pPr>
            <w:r>
              <w:rPr>
                <w:rFonts w:ascii="Arial" w:cs="Arial" w:eastAsia="Arial" w:hAnsi="Arial"/>
                <w:sz w:val="18"/>
                <w:szCs w:val="18"/>
                <w:color w:val="auto"/>
              </w:rPr>
              <w:t>Compensation and Talent Committee</w:t>
            </w:r>
          </w:p>
        </w:tc>
        <w:tc>
          <w:tcPr>
            <w:tcW w:w="2640" w:type="dxa"/>
            <w:vAlign w:val="bottom"/>
          </w:tcPr>
          <w:p>
            <w:pPr>
              <w:jc w:val="right"/>
              <w:ind w:right="137"/>
              <w:spacing w:after="0"/>
              <w:rPr>
                <w:sz w:val="20"/>
                <w:szCs w:val="20"/>
                <w:color w:val="auto"/>
              </w:rPr>
            </w:pPr>
            <w:r>
              <w:rPr>
                <w:rFonts w:ascii="Arial" w:cs="Arial" w:eastAsia="Arial" w:hAnsi="Arial"/>
                <w:sz w:val="18"/>
                <w:szCs w:val="18"/>
                <w:color w:val="auto"/>
              </w:rPr>
              <w:t>15,000</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7,500</w:t>
            </w:r>
          </w:p>
        </w:tc>
      </w:tr>
      <w:tr>
        <w:trPr>
          <w:trHeight w:val="310"/>
        </w:trPr>
        <w:tc>
          <w:tcPr>
            <w:tcW w:w="4500" w:type="dxa"/>
            <w:vAlign w:val="bottom"/>
          </w:tcPr>
          <w:p>
            <w:pPr>
              <w:spacing w:after="0"/>
              <w:rPr>
                <w:sz w:val="20"/>
                <w:szCs w:val="20"/>
                <w:color w:val="auto"/>
              </w:rPr>
            </w:pPr>
            <w:r>
              <w:rPr>
                <w:rFonts w:ascii="Arial" w:cs="Arial" w:eastAsia="Arial" w:hAnsi="Arial"/>
                <w:sz w:val="18"/>
                <w:szCs w:val="18"/>
                <w:color w:val="auto"/>
              </w:rPr>
              <w:t>Nominating and ESG Committee</w:t>
            </w:r>
          </w:p>
        </w:tc>
        <w:tc>
          <w:tcPr>
            <w:tcW w:w="2640" w:type="dxa"/>
            <w:vAlign w:val="bottom"/>
          </w:tcPr>
          <w:p>
            <w:pPr>
              <w:jc w:val="right"/>
              <w:ind w:right="137"/>
              <w:spacing w:after="0"/>
              <w:rPr>
                <w:sz w:val="20"/>
                <w:szCs w:val="20"/>
                <w:color w:val="auto"/>
              </w:rPr>
            </w:pPr>
            <w:r>
              <w:rPr>
                <w:rFonts w:ascii="Arial" w:cs="Arial" w:eastAsia="Arial" w:hAnsi="Arial"/>
                <w:sz w:val="18"/>
                <w:szCs w:val="18"/>
                <w:color w:val="auto"/>
              </w:rPr>
              <w:t>10,000</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5,000</w:t>
            </w:r>
          </w:p>
        </w:tc>
      </w:tr>
    </w:tbl>
    <w:p>
      <w:pPr>
        <w:spacing w:after="0" w:line="180" w:lineRule="exact"/>
        <w:rPr>
          <w:sz w:val="20"/>
          <w:szCs w:val="20"/>
          <w:color w:val="auto"/>
        </w:rPr>
      </w:pPr>
    </w:p>
    <w:p>
      <w:pPr>
        <w:ind w:right="100" w:firstLine="440"/>
        <w:spacing w:after="0" w:line="244" w:lineRule="auto"/>
        <w:rPr>
          <w:sz w:val="20"/>
          <w:szCs w:val="20"/>
          <w:color w:val="auto"/>
        </w:rPr>
      </w:pPr>
      <w:r>
        <w:rPr>
          <w:rFonts w:ascii="Arial" w:cs="Arial" w:eastAsia="Arial" w:hAnsi="Arial"/>
          <w:sz w:val="18"/>
          <w:szCs w:val="18"/>
          <w:color w:val="auto"/>
        </w:rPr>
        <w:t>Each non-employee director who serves as a committee chair will receive only the additional annual cash fee as the chair of the committee, and not the additional annual fee as a member of the committee. All retainers in cash are paid in four equal installments on a quarterly basis at the end of the applicable quarter, provided that the individual served as a non-employee director in the applicable capacity during the full quarter. If a director did not serve in the applicable capacity for the full quarter, retainers are pro-rated, unless otherwise approved by the board, which occurred in the first quarter of 2023 with respect to Ms. Bergeron’s retainer.</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Hedging and Pledging Policy</w:t>
      </w:r>
    </w:p>
    <w:p>
      <w:pPr>
        <w:spacing w:after="0" w:line="102"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We have implemented an insider trading policy that prohibits our non-employee directors and executive officers from trading in derivative securities (including hedging) with respect to our common stock, pledging company securities as collateral, or holding company securities in a margin account.</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02" w:lineRule="exact"/>
        <w:rPr>
          <w:sz w:val="20"/>
          <w:szCs w:val="20"/>
          <w:color w:val="auto"/>
        </w:rPr>
      </w:pPr>
    </w:p>
    <w:p>
      <w:pPr>
        <w:ind w:right="180" w:firstLine="440"/>
        <w:spacing w:after="0" w:line="255" w:lineRule="auto"/>
        <w:rPr>
          <w:sz w:val="20"/>
          <w:szCs w:val="20"/>
          <w:color w:val="auto"/>
        </w:rPr>
      </w:pPr>
      <w:r>
        <w:rPr>
          <w:rFonts w:ascii="Arial" w:cs="Arial" w:eastAsia="Arial" w:hAnsi="Arial"/>
          <w:sz w:val="17"/>
          <w:szCs w:val="17"/>
          <w:color w:val="auto"/>
        </w:rPr>
        <w:t>In February 2019, we adopted stock ownership guidelines that set minimum stock ownership requirements for our non-employee directors and executive officers, in order to more closely align their interests with the long-term interests of our stockholders. Under the guidelines, each non-employee director is required to own a number of shares of our common stock with a value equal to at least five times the value of his or her Annual Retainer (not including any additional fees received for committee service, board chair or lead independent director service, or meeting attendance). For 2021, shares of the Company’s common stock (including shares in which the individual holds a beneficial interest) and vested and exercisable “in-the-money” stock options count towards satisfaction of the stock ownership levels. In April 2022, our board of directors approved a change to the guidelines such that only shares of the Company’s common stock (including shares beneficially owned) will count towards satisfaction of the stock ownership levels. Consistent with emerging best practices, vested and exercisable stock options will no longer be counted towards satisfying the guidelines.</w:t>
      </w:r>
    </w:p>
    <w:p>
      <w:pPr>
        <w:spacing w:after="0" w:line="169" w:lineRule="exact"/>
        <w:rPr>
          <w:sz w:val="20"/>
          <w:szCs w:val="20"/>
          <w:color w:val="auto"/>
        </w:rPr>
      </w:pPr>
    </w:p>
    <w:p>
      <w:pPr>
        <w:ind w:right="80" w:firstLine="440"/>
        <w:spacing w:after="0"/>
        <w:rPr>
          <w:sz w:val="20"/>
          <w:szCs w:val="20"/>
          <w:color w:val="auto"/>
        </w:rPr>
      </w:pPr>
      <w:r>
        <w:rPr>
          <w:rFonts w:ascii="Arial" w:cs="Arial" w:eastAsia="Arial" w:hAnsi="Arial"/>
          <w:sz w:val="18"/>
          <w:szCs w:val="18"/>
          <w:color w:val="auto"/>
        </w:rPr>
        <w:t>Each non-employee director must satisfy his or her applicable ownership level by the later of (i) February 8, 2024 or (ii) five years after becoming a director. Compliance with these guidelines is measured based on the non-employee director’s Annual Retainer and the closing price of the Company’s common stock, in each case as of December 31 of each year (or the next trading day if December 31 is not a trading day). Unless and until a director has satisfied his or her applicable level of ownership, he or she is required to retain an amount equal to 50% of the shares received as the result of the exercise, vesting or payment of any equity awards after any shares are sold or withheld, as the case may be, to (i) pay any applicable exercise price for an equity award or (ii) satisfy withholding tax obligations arising in connection with the exercise, vesting or payment of an equity award. As of December 31, 2022, all of our non-employee directors were in compliance with our stock ownership guidelines or within the grace period for compliance.</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40" w:top="296" w:right="5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Board Structure</w:t>
      </w:r>
    </w:p>
    <w:p>
      <w:pPr>
        <w:spacing w:after="0" w:line="104" w:lineRule="exact"/>
        <w:rPr>
          <w:sz w:val="20"/>
          <w:szCs w:val="20"/>
          <w:color w:val="auto"/>
        </w:rPr>
      </w:pPr>
    </w:p>
    <w:p>
      <w:pPr>
        <w:ind w:right="120" w:firstLine="440"/>
        <w:spacing w:after="0" w:line="247" w:lineRule="auto"/>
        <w:rPr>
          <w:sz w:val="20"/>
          <w:szCs w:val="20"/>
          <w:color w:val="auto"/>
        </w:rPr>
      </w:pPr>
      <w:r>
        <w:rPr>
          <w:rFonts w:ascii="Arial" w:cs="Arial" w:eastAsia="Arial" w:hAnsi="Arial"/>
          <w:sz w:val="18"/>
          <w:szCs w:val="18"/>
          <w:color w:val="auto"/>
        </w:rPr>
        <w:t>Our board of directors is currently composed of seven members. Our board of directors is divided into three staggered classes of directors. At each annual meeting of stockholders, a class of directors will be elected for a three-year term to succeed the same class whose term is then expiring. The term of the Class II directors expires at the Annual Meeting, the term of the Class III directors expires at the 2024 annual meeting, and the term of the Class I director expires at the 2025 annual meeting.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04" w:lineRule="exact"/>
        <w:rPr>
          <w:sz w:val="20"/>
          <w:szCs w:val="20"/>
          <w:color w:val="auto"/>
        </w:rPr>
      </w:pPr>
    </w:p>
    <w:p>
      <w:pPr>
        <w:ind w:right="240" w:firstLine="440"/>
        <w:spacing w:after="0" w:line="244" w:lineRule="auto"/>
        <w:rPr>
          <w:sz w:val="20"/>
          <w:szCs w:val="20"/>
          <w:color w:val="auto"/>
        </w:rPr>
      </w:pPr>
      <w:r>
        <w:rPr>
          <w:rFonts w:ascii="Arial" w:cs="Arial" w:eastAsia="Arial" w:hAnsi="Arial"/>
          <w:sz w:val="18"/>
          <w:szCs w:val="18"/>
          <w:color w:val="auto"/>
        </w:rPr>
        <w:t>Our Nominating and ESG committee has recommended, and our board of directors has approved, Wendy M. Pfeiffer, and John Zangardi as nominees for election as Class II directors at the Annual Meeting. If elected, each of Ms. Pfeiffer and Dr. Zangardi serve as Class II directors until the 2026 annual meeting of stockholders and until their successors are duly elected and qualified, subject to their earlier death, resignation, or removal. Each of the nominees currently serves on our board of directors as a Class II director. For information concerning the nominees, please see “</w:t>
      </w:r>
      <w:r>
        <w:rPr>
          <w:rFonts w:ascii="Arial" w:cs="Arial" w:eastAsia="Arial" w:hAnsi="Arial"/>
          <w:sz w:val="18"/>
          <w:szCs w:val="18"/>
          <w:i w:val="1"/>
          <w:iCs w:val="1"/>
          <w:color w:val="auto"/>
        </w:rPr>
        <w:t>Board of Directors and Corporate Governance</w:t>
      </w:r>
      <w:r>
        <w:rPr>
          <w:rFonts w:ascii="Arial" w:cs="Arial" w:eastAsia="Arial" w:hAnsi="Arial"/>
          <w:sz w:val="18"/>
          <w:szCs w:val="18"/>
          <w:color w:val="auto"/>
        </w:rPr>
        <w:t>” above.</w:t>
      </w:r>
    </w:p>
    <w:p>
      <w:pPr>
        <w:spacing w:after="0" w:line="176"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If you are a stockholder of record and you sign your proxy card or vote by telephone or over the Internet but do not give instructions with respect to the voting of directors, your shares will be voted “FOR” the election of Ms. Pfeiffer and Dr. Zangardi, each of whom has consented to being named as a nominee in this proxy statement and to serve as a director, if elected. If, at the time of the Annual Meeting, any nominee is unable or declines to serve as a director, the discretionary authority provided in the enclosed proxy will be exercised to vote for a substitute candidate designated by our board of directors, unless the board chooses to reduce its own size. Our board of directors has no reason to believe that any of the nominees will be unable or will decline to serve if elected. If you are a street name stockholder and you do not give voting instructions to your broker, bank, or other nominee, your broker, bank, or other nominee will leave your shares unvoted on this matter.</w:t>
      </w:r>
    </w:p>
    <w:p>
      <w:pPr>
        <w:spacing w:after="0" w:line="180" w:lineRule="exact"/>
        <w:rPr>
          <w:sz w:val="20"/>
          <w:szCs w:val="20"/>
          <w:color w:val="auto"/>
        </w:rPr>
      </w:pPr>
    </w:p>
    <w:p>
      <w:pPr>
        <w:jc w:val="center"/>
        <w:ind w:left="480" w:right="1020"/>
        <w:spacing w:after="0" w:line="443" w:lineRule="auto"/>
        <w:rPr>
          <w:sz w:val="20"/>
          <w:szCs w:val="20"/>
          <w:color w:val="auto"/>
        </w:rPr>
      </w:pPr>
      <w:r>
        <w:rPr>
          <w:rFonts w:ascii="Arial" w:cs="Arial" w:eastAsia="Arial" w:hAnsi="Arial"/>
          <w:sz w:val="18"/>
          <w:szCs w:val="18"/>
          <w:b w:val="1"/>
          <w:bCs w:val="1"/>
          <w:color w:val="auto"/>
        </w:rPr>
        <w:t xml:space="preserve">THE BOARD OF DIRECTORS RECOMMENDS A VOTE “FOR” EACH OF THE NOMINEES NAMED ABOVE. </w:t>
      </w:r>
      <w:r>
        <w:rPr>
          <w:rFonts w:ascii="Arial" w:cs="Arial" w:eastAsia="Arial" w:hAnsi="Arial"/>
          <w:sz w:val="18"/>
          <w:szCs w:val="18"/>
          <w:color w:val="auto"/>
        </w:rPr>
        <w:t>22</w:t>
      </w:r>
    </w:p>
    <w:p>
      <w:pPr>
        <w:sectPr>
          <w:pgSz w:w="11900" w:h="16838" w:orient="portrait"/>
          <w:cols w:equalWidth="0" w:num="1">
            <w:col w:w="10980"/>
          </w:cols>
          <w:pgMar w:left="440" w:top="296" w:right="479" w:bottom="1440" w:gutter="0" w:footer="0" w:header="0"/>
        </w:sectPr>
      </w:pPr>
    </w:p>
    <w:bookmarkStart w:id="24" w:name="page25"/>
    <w:bookmarkEnd w:id="2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2</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RATIFICATION OF APPOINTMENT OF</w:t>
      </w:r>
    </w:p>
    <w:p>
      <w:pPr>
        <w:jc w:val="center"/>
        <w:ind w:right="-3"/>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94" w:lineRule="exact"/>
        <w:rPr>
          <w:sz w:val="20"/>
          <w:szCs w:val="20"/>
          <w:color w:val="auto"/>
        </w:rPr>
      </w:pPr>
    </w:p>
    <w:p>
      <w:pPr>
        <w:ind w:left="4" w:right="100" w:firstLine="440"/>
        <w:spacing w:after="0" w:line="247" w:lineRule="auto"/>
        <w:rPr>
          <w:sz w:val="20"/>
          <w:szCs w:val="20"/>
          <w:color w:val="auto"/>
        </w:rPr>
      </w:pPr>
      <w:r>
        <w:rPr>
          <w:rFonts w:ascii="Arial" w:cs="Arial" w:eastAsia="Arial" w:hAnsi="Arial"/>
          <w:sz w:val="18"/>
          <w:szCs w:val="18"/>
          <w:color w:val="auto"/>
        </w:rPr>
        <w:t>Our Audit and Risk Committee has appointed Grant Thornton LLP (“Grant Thornton”), independent registered public accountants, to audit our financial statements for our fiscal year ending December 31, 2023. Grant Thornton has audited our financial statements since 2005. At the Annual Meeting, our stockholders are being asked to ratify the appointment of Grant Thornton as our independent registered public accounting firm for our fiscal year ending December 31, 2023.</w:t>
      </w:r>
    </w:p>
    <w:p>
      <w:pPr>
        <w:spacing w:after="0" w:line="174" w:lineRule="exact"/>
        <w:rPr>
          <w:sz w:val="20"/>
          <w:szCs w:val="20"/>
          <w:color w:val="auto"/>
        </w:rPr>
      </w:pPr>
    </w:p>
    <w:p>
      <w:pPr>
        <w:ind w:left="4" w:right="40" w:firstLine="440"/>
        <w:spacing w:after="0" w:line="244" w:lineRule="auto"/>
        <w:rPr>
          <w:sz w:val="20"/>
          <w:szCs w:val="20"/>
          <w:color w:val="auto"/>
        </w:rPr>
      </w:pPr>
      <w:r>
        <w:rPr>
          <w:rFonts w:ascii="Arial" w:cs="Arial" w:eastAsia="Arial" w:hAnsi="Arial"/>
          <w:sz w:val="18"/>
          <w:szCs w:val="18"/>
          <w:color w:val="auto"/>
        </w:rPr>
        <w:t>Our Audit and Risk Committee is submitting the selection of Grant Thornton to our stockholders because we value our stockholders’ views on our independent registered public accounting firm and as a matter of good corporate governance. If the stockholders do not ratify the appointment of Grant Thornton, our board of directors may reconsider the appointment. Notwithstanding its selection and even if our stockholders ratify the selection, our Audit and Risk Committee, in its discretion, may appoint another independent registered public accounting firm at any time during the year if it believes that such a change would be in the best interests of Qualys and its stockholders.</w:t>
      </w:r>
    </w:p>
    <w:p>
      <w:pPr>
        <w:spacing w:after="0" w:line="176" w:lineRule="exact"/>
        <w:rPr>
          <w:sz w:val="20"/>
          <w:szCs w:val="20"/>
          <w:color w:val="auto"/>
        </w:rPr>
      </w:pPr>
    </w:p>
    <w:p>
      <w:pPr>
        <w:ind w:left="4" w:right="120" w:firstLine="440"/>
        <w:spacing w:after="0" w:line="271" w:lineRule="auto"/>
        <w:rPr>
          <w:sz w:val="20"/>
          <w:szCs w:val="20"/>
          <w:color w:val="auto"/>
        </w:rPr>
      </w:pPr>
      <w:r>
        <w:rPr>
          <w:rFonts w:ascii="Arial" w:cs="Arial" w:eastAsia="Arial" w:hAnsi="Arial"/>
          <w:sz w:val="18"/>
          <w:szCs w:val="18"/>
          <w:color w:val="auto"/>
        </w:rPr>
        <w:t>Representatives of Grant Thornton will be present at the Annual Meeting, and they will have an opportunity to make statements and will be available to respond to appropriate questions from stockholders.</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04" w:lineRule="exact"/>
        <w:rPr>
          <w:sz w:val="20"/>
          <w:szCs w:val="20"/>
          <w:color w:val="auto"/>
        </w:rPr>
      </w:pPr>
    </w:p>
    <w:p>
      <w:pPr>
        <w:ind w:left="4" w:right="200" w:firstLine="440"/>
        <w:spacing w:after="0" w:line="271" w:lineRule="auto"/>
        <w:rPr>
          <w:sz w:val="20"/>
          <w:szCs w:val="20"/>
          <w:color w:val="auto"/>
        </w:rPr>
      </w:pPr>
      <w:r>
        <w:rPr>
          <w:rFonts w:ascii="Arial" w:cs="Arial" w:eastAsia="Arial" w:hAnsi="Arial"/>
          <w:sz w:val="18"/>
          <w:szCs w:val="18"/>
          <w:color w:val="auto"/>
        </w:rPr>
        <w:t>The following table presents fees for services rendered to Qualys by Grant Thornton for the fiscal years ended December 31, 2021 and 2022. During such fiscal years, Grant Thornton did not render any services to Qualys other than professional audit services.</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04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3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196"/>
        </w:trPr>
        <w:tc>
          <w:tcPr>
            <w:tcW w:w="85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2"/>
                <w:szCs w:val="22"/>
                <w:color w:val="auto"/>
                <w:vertAlign w:val="superscript"/>
              </w:rPr>
              <w:t>(1)</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1,419,786</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1,713,492</w:t>
            </w: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right="20" w:hanging="424"/>
        <w:spacing w:after="0" w:line="266" w:lineRule="auto"/>
        <w:tabs>
          <w:tab w:leader="none" w:pos="4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Audit fees consist of fees for professional services provided in connection with the audit of our annual consolidated financial statements and internal control over financial reporting, review of our quarterly consolidated financial statements and audit services provided in connection with other statutory and regulatory filings.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Auditor Independence</w:t>
      </w:r>
    </w:p>
    <w:p>
      <w:pPr>
        <w:spacing w:after="0" w:line="104" w:lineRule="exact"/>
        <w:rPr>
          <w:sz w:val="20"/>
          <w:szCs w:val="20"/>
          <w:color w:val="auto"/>
        </w:rPr>
      </w:pPr>
    </w:p>
    <w:p>
      <w:pPr>
        <w:ind w:left="4" w:right="820" w:firstLine="440"/>
        <w:spacing w:after="0" w:line="271" w:lineRule="auto"/>
        <w:rPr>
          <w:sz w:val="20"/>
          <w:szCs w:val="20"/>
          <w:color w:val="auto"/>
        </w:rPr>
      </w:pPr>
      <w:r>
        <w:rPr>
          <w:rFonts w:ascii="Arial" w:cs="Arial" w:eastAsia="Arial" w:hAnsi="Arial"/>
          <w:sz w:val="18"/>
          <w:szCs w:val="18"/>
          <w:color w:val="auto"/>
        </w:rPr>
        <w:t>In 2022, there were no other professional services provided by Grant Thornton that would have required the Audit and Risk Committee to consider their compatibility with maintaining the independence of Grant Thornton.</w:t>
      </w:r>
    </w:p>
    <w:p>
      <w:pPr>
        <w:spacing w:after="0" w:line="262" w:lineRule="exact"/>
        <w:rPr>
          <w:sz w:val="20"/>
          <w:szCs w:val="20"/>
          <w:color w:val="auto"/>
        </w:rPr>
      </w:pPr>
    </w:p>
    <w:p>
      <w:pPr>
        <w:ind w:left="4" w:right="560"/>
        <w:spacing w:after="0" w:line="281" w:lineRule="auto"/>
        <w:rPr>
          <w:sz w:val="20"/>
          <w:szCs w:val="20"/>
          <w:color w:val="auto"/>
        </w:rPr>
      </w:pPr>
      <w:r>
        <w:rPr>
          <w:rFonts w:ascii="Arial" w:cs="Arial" w:eastAsia="Arial" w:hAnsi="Arial"/>
          <w:sz w:val="18"/>
          <w:szCs w:val="18"/>
          <w:b w:val="1"/>
          <w:bCs w:val="1"/>
          <w:color w:val="auto"/>
        </w:rPr>
        <w:t>Audit and Risk Committee Policy on Pre-Approval of Audit and Permissible Non-Audit Services of Independent Registered Public Accounting Firm</w:t>
      </w:r>
    </w:p>
    <w:p>
      <w:pPr>
        <w:spacing w:after="0" w:line="28" w:lineRule="exact"/>
        <w:rPr>
          <w:sz w:val="20"/>
          <w:szCs w:val="20"/>
          <w:color w:val="auto"/>
        </w:rPr>
      </w:pPr>
    </w:p>
    <w:p>
      <w:pPr>
        <w:ind w:left="4" w:right="40" w:firstLine="440"/>
        <w:spacing w:after="0" w:line="244" w:lineRule="auto"/>
        <w:rPr>
          <w:sz w:val="20"/>
          <w:szCs w:val="20"/>
          <w:color w:val="auto"/>
        </w:rPr>
      </w:pPr>
      <w:r>
        <w:rPr>
          <w:rFonts w:ascii="Arial" w:cs="Arial" w:eastAsia="Arial" w:hAnsi="Arial"/>
          <w:sz w:val="18"/>
          <w:szCs w:val="18"/>
          <w:color w:val="auto"/>
        </w:rPr>
        <w:t>Consistent with requirements of the SEC and the Public Company Oversight Board, or PCAOB, regarding auditor independence, our Audit and Risk Committee is responsible for the appointment, compensation and oversight of the work of our independent registered public accounting firm. In recognition of this responsibility, the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176" w:lineRule="exact"/>
        <w:rPr>
          <w:sz w:val="20"/>
          <w:szCs w:val="20"/>
          <w:color w:val="auto"/>
        </w:rPr>
      </w:pPr>
    </w:p>
    <w:p>
      <w:pPr>
        <w:ind w:left="4" w:right="140" w:firstLine="440"/>
        <w:spacing w:after="0" w:line="271" w:lineRule="auto"/>
        <w:rPr>
          <w:sz w:val="20"/>
          <w:szCs w:val="20"/>
          <w:color w:val="auto"/>
        </w:rPr>
      </w:pPr>
      <w:r>
        <w:rPr>
          <w:rFonts w:ascii="Arial" w:cs="Arial" w:eastAsia="Arial" w:hAnsi="Arial"/>
          <w:sz w:val="18"/>
          <w:szCs w:val="18"/>
          <w:color w:val="auto"/>
        </w:rPr>
        <w:t>Before engagement of the independent registered public accounting firm for the next year’s audit, the independent registered public accounting firm submits a detailed description of services expected</w:t>
      </w:r>
    </w:p>
    <w:p>
      <w:pPr>
        <w:spacing w:after="0" w:line="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96"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to be rendered during that year for each of the following categories of services to our Audit and Risk Committee for approval:</w:t>
      </w:r>
    </w:p>
    <w:p>
      <w:pPr>
        <w:spacing w:after="0" w:line="117" w:lineRule="exact"/>
        <w:rPr>
          <w:sz w:val="20"/>
          <w:szCs w:val="20"/>
          <w:color w:val="auto"/>
        </w:rPr>
      </w:pPr>
    </w:p>
    <w:p>
      <w:pPr>
        <w:jc w:val="both"/>
        <w:ind w:left="960" w:right="600" w:hanging="424"/>
        <w:spacing w:after="0" w:line="253"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Audit services</w:t>
      </w:r>
      <w:r>
        <w:rPr>
          <w:rFonts w:ascii="Arial" w:cs="Arial" w:eastAsia="Arial" w:hAnsi="Arial"/>
          <w:sz w:val="18"/>
          <w:szCs w:val="18"/>
          <w:color w:val="auto"/>
        </w:rPr>
        <w:t>. Audit services include work performed for the audit of our financial statements and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the review of financial statements included in our quarterly reports, as well as work that is normally provided by the independent registered public accounting firm in connection with statutory and regulatory filings.</w:t>
      </w:r>
    </w:p>
    <w:p>
      <w:pPr>
        <w:spacing w:after="0" w:line="74" w:lineRule="exact"/>
        <w:rPr>
          <w:rFonts w:ascii="Arial" w:cs="Arial" w:eastAsia="Arial" w:hAnsi="Arial"/>
          <w:sz w:val="18"/>
          <w:szCs w:val="18"/>
          <w:color w:val="auto"/>
        </w:rPr>
      </w:pPr>
    </w:p>
    <w:p>
      <w:pPr>
        <w:ind w:left="960" w:right="640" w:hanging="424"/>
        <w:spacing w:after="0" w:line="271"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Audit-related services</w:t>
      </w:r>
      <w:r>
        <w:rPr>
          <w:rFonts w:ascii="Arial" w:cs="Arial" w:eastAsia="Arial" w:hAnsi="Arial"/>
          <w:sz w:val="18"/>
          <w:szCs w:val="18"/>
          <w:color w:val="auto"/>
        </w:rPr>
        <w:t>. Audit-related services are for assurance and related services that are reasonably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audit or review of our financial statements and are not covered above under “audit services.”</w:t>
      </w:r>
    </w:p>
    <w:p>
      <w:pPr>
        <w:spacing w:after="0" w:line="59" w:lineRule="exact"/>
        <w:rPr>
          <w:rFonts w:ascii="Arial" w:cs="Arial" w:eastAsia="Arial" w:hAnsi="Arial"/>
          <w:sz w:val="18"/>
          <w:szCs w:val="18"/>
          <w:color w:val="auto"/>
        </w:rPr>
      </w:pPr>
    </w:p>
    <w:p>
      <w:pPr>
        <w:ind w:left="960" w:hanging="424"/>
        <w:spacing w:after="0" w:line="271"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Tax services</w:t>
      </w:r>
      <w:r>
        <w:rPr>
          <w:rFonts w:ascii="Arial" w:cs="Arial" w:eastAsia="Arial" w:hAnsi="Arial"/>
          <w:sz w:val="18"/>
          <w:szCs w:val="18"/>
          <w:color w:val="auto"/>
        </w:rPr>
        <w:t>. Tax services include all services performed by the independent registered public accounting firm’s tax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for tax compliance, tax advice and tax planning.</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Other services</w:t>
      </w:r>
      <w:r>
        <w:rPr>
          <w:rFonts w:ascii="Arial" w:cs="Arial" w:eastAsia="Arial" w:hAnsi="Arial"/>
          <w:sz w:val="18"/>
          <w:szCs w:val="18"/>
          <w:color w:val="auto"/>
        </w:rPr>
        <w:t>. Other services are those services not described in the other categories.</w:t>
      </w:r>
    </w:p>
    <w:p>
      <w:pPr>
        <w:spacing w:after="0" w:line="212"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Our Audit and Risk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committee before the independent registered public accounting firm is engaged. Pre-approval fee levels or budgeted amounts for all services to be provided by the independent registered public accounting firm are established annually by the committee, and any proposed services exceeding these levels or amounts require specific pre-approval by the committee.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A VOTE “FOR” THE RATIFICATION OF THE</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APPOINTMENT OF GRANT THORNTON LLP.</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96" w:right="49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APPROVAL OF EXECUTIVE COMPENSATION</w:t>
      </w:r>
    </w:p>
    <w:p>
      <w:pPr>
        <w:spacing w:after="0" w:line="194" w:lineRule="exact"/>
        <w:rPr>
          <w:sz w:val="20"/>
          <w:szCs w:val="20"/>
          <w:color w:val="auto"/>
        </w:rPr>
      </w:pPr>
    </w:p>
    <w:p>
      <w:pPr>
        <w:ind w:right="20" w:firstLine="440"/>
        <w:spacing w:after="0" w:line="242" w:lineRule="auto"/>
        <w:rPr>
          <w:sz w:val="20"/>
          <w:szCs w:val="20"/>
          <w:color w:val="auto"/>
        </w:rPr>
      </w:pPr>
      <w:r>
        <w:rPr>
          <w:rFonts w:ascii="Arial" w:cs="Arial" w:eastAsia="Arial" w:hAnsi="Arial"/>
          <w:sz w:val="18"/>
          <w:szCs w:val="18"/>
          <w:color w:val="auto"/>
        </w:rPr>
        <w:t>The Dodd-Frank Wall Street Reform and Consumer Protection Act of 2010, or the Dodd-Frank Act, enables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79" w:lineRule="exact"/>
        <w:rPr>
          <w:sz w:val="20"/>
          <w:szCs w:val="20"/>
          <w:color w:val="auto"/>
        </w:rPr>
      </w:pPr>
    </w:p>
    <w:p>
      <w:pPr>
        <w:ind w:right="20" w:firstLine="440"/>
        <w:spacing w:after="0"/>
        <w:rPr>
          <w:sz w:val="20"/>
          <w:szCs w:val="20"/>
          <w:color w:val="auto"/>
        </w:rPr>
      </w:pPr>
      <w:r>
        <w:rPr>
          <w:rFonts w:ascii="Arial" w:cs="Arial" w:eastAsia="Arial" w:hAnsi="Arial"/>
          <w:sz w:val="18"/>
          <w:szCs w:val="18"/>
          <w:color w:val="auto"/>
        </w:rPr>
        <w:t>The Say-on-Pay vote is advisory, and therefore is not binding on us, our Compensation and Talent Committee or our board of directors. The Say-on-Pay vote will, however, provide information to us regarding investor sentiment about our executive compensation philosophy, policies and practices, which the committee will be able to consider when determining executive compensation for the remainder of the current fiscal year and beyond. Our board of directors and our Compensation and Talent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and our Compensation and Talent Committee will consider our stockholders’ concerns and evaluate whether any actions are necessary to address those concerns.</w:t>
      </w:r>
    </w:p>
    <w:p>
      <w:pPr>
        <w:spacing w:after="0" w:line="180"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We believe that the information provided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and in particular the information discussed in the section entitled “</w:t>
      </w:r>
      <w:r>
        <w:rPr>
          <w:rFonts w:ascii="Arial" w:cs="Arial" w:eastAsia="Arial" w:hAnsi="Arial"/>
          <w:sz w:val="18"/>
          <w:szCs w:val="18"/>
          <w:i w:val="1"/>
          <w:iCs w:val="1"/>
          <w:color w:val="auto"/>
        </w:rPr>
        <w:t>Executive Compensation—Compensation Discussion and Analysis—Philosophy and</w:t>
      </w:r>
      <w:r>
        <w:rPr>
          <w:rFonts w:ascii="Arial" w:cs="Arial" w:eastAsia="Arial" w:hAnsi="Arial"/>
          <w:sz w:val="18"/>
          <w:szCs w:val="18"/>
          <w:color w:val="auto"/>
        </w:rPr>
        <w:t xml:space="preserve"> </w:t>
      </w:r>
      <w:r>
        <w:rPr>
          <w:rFonts w:ascii="Arial" w:cs="Arial" w:eastAsia="Arial" w:hAnsi="Arial"/>
          <w:sz w:val="18"/>
          <w:szCs w:val="18"/>
          <w:i w:val="1"/>
          <w:iCs w:val="1"/>
          <w:color w:val="auto"/>
        </w:rPr>
        <w:t>Objectives</w:t>
      </w:r>
      <w:r>
        <w:rPr>
          <w:rFonts w:ascii="Arial" w:cs="Arial" w:eastAsia="Arial" w:hAnsi="Arial"/>
          <w:sz w:val="18"/>
          <w:szCs w:val="18"/>
          <w:color w:val="auto"/>
        </w:rPr>
        <w:t>” beginning on page 33 below, demonstrates that our executive compensation program was designed appropriately and is</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to ensure management’s interests are aligned with our stockholders’ interests to support long-term value creation. Accordingly, we ask our stockholders to vote “FOR” the following resolution at the Annual Meeting:</w:t>
      </w:r>
    </w:p>
    <w:p>
      <w:pPr>
        <w:spacing w:after="0" w:line="176" w:lineRule="exact"/>
        <w:rPr>
          <w:sz w:val="20"/>
          <w:szCs w:val="20"/>
          <w:color w:val="auto"/>
        </w:rPr>
      </w:pPr>
    </w:p>
    <w:p>
      <w:pPr>
        <w:ind w:right="600" w:firstLine="440"/>
        <w:spacing w:after="0" w:line="253" w:lineRule="auto"/>
        <w:rPr>
          <w:sz w:val="20"/>
          <w:szCs w:val="20"/>
          <w:color w:val="auto"/>
        </w:rPr>
      </w:pPr>
      <w:r>
        <w:rPr>
          <w:rFonts w:ascii="Arial" w:cs="Arial" w:eastAsia="Arial" w:hAnsi="Arial"/>
          <w:sz w:val="18"/>
          <w:szCs w:val="18"/>
          <w:color w:val="auto"/>
        </w:rPr>
        <w:t>“RESOLVED, that the stockholders approve, on an advisory basis, the compensation paid to the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169"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BOARD OF DIRECTORS RECOMMENDS A VOTE “FOR” THE APPROVAL, ON AN ADVISORY BASIS, OF THE EXECUTIVE COMPENSATION AS DESCRIBED IN THIS PROXY STATEMENT.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96" w:right="4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REPORT OF THE AUDIT AND RISK COMMITTEE</w:t>
      </w:r>
    </w:p>
    <w:p>
      <w:pPr>
        <w:spacing w:after="0" w:line="212" w:lineRule="exact"/>
        <w:rPr>
          <w:sz w:val="20"/>
          <w:szCs w:val="20"/>
          <w:color w:val="auto"/>
        </w:rPr>
      </w:pPr>
    </w:p>
    <w:p>
      <w:pPr>
        <w:ind w:right="80" w:firstLine="440"/>
        <w:spacing w:after="0" w:line="242" w:lineRule="auto"/>
        <w:rPr>
          <w:sz w:val="20"/>
          <w:szCs w:val="20"/>
          <w:color w:val="auto"/>
        </w:rPr>
      </w:pPr>
      <w:r>
        <w:rPr>
          <w:rFonts w:ascii="Arial" w:cs="Arial" w:eastAsia="Arial" w:hAnsi="Arial"/>
          <w:sz w:val="18"/>
          <w:szCs w:val="18"/>
          <w:color w:val="auto"/>
        </w:rPr>
        <w:t>Our Audit and Risk Committee is a committee of our board of directors comprised solely of independent directors as required by the Nasdaq Listing Rules and rules of the SEC. Our Audit and Risk Committee operates under a written charter approved by our board of directors, which is available on our website at http://investor.qualys.com. The composition of the committee, the attributes of its members and the responsibilities of the committee, as reflected in its charter, are intended to be in accordance with applicable requirements for corporate audit committees. The committee reviews and assesses the adequacy of its charter and the committee’s performance on an annual basis.</w:t>
      </w:r>
    </w:p>
    <w:p>
      <w:pPr>
        <w:spacing w:after="0" w:line="179"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With respect to the financial reporting process of the Company, the management of the Company is responsible for (1) establishing and maintaining internal controls and (2) preparing the Company’s consolidated financial statements. Grant Thornton LLP (“Grant Thornton”) is responsible for auditing the Company’s financial statements. It is the responsibility of our Audit and Risk Committee to oversee these activities. It is not the responsibility of the committee to prepare or certify our financial statements or guarantee the audits or reports of Grant Thornton. These are the fundamental responsibilities of management and Grant Thornton. In the performance of its oversight function, our Audit and Risk Committee has:</w:t>
      </w:r>
    </w:p>
    <w:p>
      <w:pPr>
        <w:spacing w:after="0" w:line="84" w:lineRule="exact"/>
        <w:rPr>
          <w:sz w:val="20"/>
          <w:szCs w:val="20"/>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Grant Thornton;</w:t>
      </w:r>
    </w:p>
    <w:p>
      <w:pPr>
        <w:spacing w:after="0" w:line="117" w:lineRule="exact"/>
        <w:rPr>
          <w:rFonts w:ascii="Arial" w:cs="Arial" w:eastAsia="Arial" w:hAnsi="Arial"/>
          <w:sz w:val="18"/>
          <w:szCs w:val="18"/>
          <w:color w:val="auto"/>
        </w:rPr>
      </w:pPr>
    </w:p>
    <w:p>
      <w:pPr>
        <w:ind w:left="960" w:right="260" w:hanging="424"/>
        <w:spacing w:after="0" w:line="271"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discussed with Grant Thornton the matters required to be discussed by the applicable requirements of the Public Company Accounting Oversight Board (“PCAOB”) and the SEC; and</w:t>
      </w:r>
    </w:p>
    <w:p>
      <w:pPr>
        <w:spacing w:after="0" w:line="59" w:lineRule="exact"/>
        <w:rPr>
          <w:rFonts w:ascii="Arial" w:cs="Arial" w:eastAsia="Arial" w:hAnsi="Arial"/>
          <w:sz w:val="18"/>
          <w:szCs w:val="18"/>
          <w:color w:val="auto"/>
        </w:rPr>
      </w:pPr>
    </w:p>
    <w:p>
      <w:pPr>
        <w:ind w:left="960" w:right="180" w:hanging="424"/>
        <w:spacing w:after="0" w:line="253"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Grant Thornton required by applicable requirements of the PCAOB regarding the independent accountant’s communications with our Audit and Risk Committee concerning independence, and has discussed with Grant Thornton its independence.</w:t>
      </w:r>
    </w:p>
    <w:p>
      <w:pPr>
        <w:spacing w:after="0" w:line="169" w:lineRule="exact"/>
        <w:rPr>
          <w:sz w:val="20"/>
          <w:szCs w:val="20"/>
          <w:color w:val="auto"/>
        </w:rPr>
      </w:pPr>
    </w:p>
    <w:p>
      <w:pPr>
        <w:ind w:right="360" w:firstLine="440"/>
        <w:spacing w:after="0" w:line="253" w:lineRule="auto"/>
        <w:rPr>
          <w:sz w:val="20"/>
          <w:szCs w:val="20"/>
          <w:color w:val="auto"/>
        </w:rPr>
      </w:pPr>
      <w:r>
        <w:rPr>
          <w:rFonts w:ascii="Arial" w:cs="Arial" w:eastAsia="Arial" w:hAnsi="Arial"/>
          <w:sz w:val="18"/>
          <w:szCs w:val="18"/>
          <w:color w:val="auto"/>
        </w:rPr>
        <w:t>Based on its review and discussions with management and Grant Thornton, our Audit and Risk Committee recommended to our board of directors that the audited financial statements be included in our Annual Report on Form 10-K for the fiscal year ended December 31, 2022, for filing with the SEC.</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Respectfully submitted by the members of the Audit and Risk Committee of the board of directors: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Jeffrey P. Hank (Chair)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Wendy M. Pfeiffer</w:t>
      </w:r>
    </w:p>
    <w:p>
      <w:pPr>
        <w:ind w:left="440"/>
        <w:spacing w:after="0"/>
        <w:rPr>
          <w:sz w:val="20"/>
          <w:szCs w:val="20"/>
          <w:color w:val="auto"/>
        </w:rPr>
      </w:pPr>
      <w:r>
        <w:rPr>
          <w:rFonts w:ascii="Arial" w:cs="Arial" w:eastAsia="Arial" w:hAnsi="Arial"/>
          <w:sz w:val="18"/>
          <w:szCs w:val="18"/>
          <w:color w:val="auto"/>
        </w:rPr>
        <w:t>John Zangardi</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96" w:right="47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ENVIRONMENTAL, SOCIAL AND GOVERNANCE (ESG)</w:t>
      </w:r>
    </w:p>
    <w:p>
      <w:pPr>
        <w:spacing w:after="0" w:line="212"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Our commitment to solid governance, environmental stewardship and social responsibility is essential to our business strategy and long-term value creation for our stakeholders. We believe that doing the right thing for our people, our stockholders, our communities and our environment further builds the trust and support of our customers, partners, employees and stockholders, enabling us to grow our business profitably and meet the diverse needs of our constituents. Our approach to ESG management and disclosure is further informed by the SASB accounting standards (related to the Software and Information Technology Services industry) and the United Nations Sustainable Development Goals (SDGs) relevant to our business activities. We recognize that ESG risks are an important component of overall enterprise risk and therefore identify and manage such risks accordingly.</w:t>
      </w:r>
    </w:p>
    <w:p>
      <w:pPr>
        <w:sectPr>
          <w:pgSz w:w="11900" w:h="16838" w:orient="portrait"/>
          <w:cols w:equalWidth="0" w:num="1">
            <w:col w:w="10980"/>
          </w:cols>
          <w:pgMar w:left="440" w:top="296" w:right="479" w:bottom="1440" w:gutter="0" w:footer="0" w:header="0"/>
        </w:sect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Qualys’ ESG Pillars</w:t>
      </w:r>
    </w:p>
    <w:p>
      <w:pPr>
        <w:spacing w:after="0" w:line="252" w:lineRule="exact"/>
        <w:rPr>
          <w:sz w:val="20"/>
          <w:szCs w:val="20"/>
          <w:color w:val="auto"/>
        </w:rPr>
      </w:pPr>
    </w:p>
    <w:p>
      <w:pPr>
        <w:ind w:left="160" w:right="980"/>
        <w:spacing w:after="0" w:line="253" w:lineRule="auto"/>
        <w:rPr>
          <w:sz w:val="20"/>
          <w:szCs w:val="20"/>
          <w:color w:val="auto"/>
        </w:rPr>
      </w:pPr>
      <w:r>
        <w:rPr>
          <w:rFonts w:ascii="Arial" w:cs="Arial" w:eastAsia="Arial" w:hAnsi="Arial"/>
          <w:sz w:val="18"/>
          <w:szCs w:val="18"/>
          <w:color w:val="FFFFFF"/>
        </w:rPr>
        <w:t>Governance and Responsible Business Practices</w:t>
      </w:r>
    </w:p>
    <w:p>
      <w:pPr>
        <w:spacing w:after="0" w:line="88"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are committed to sound corporate governance and ethical business practices that build value and trust with all stakeholders.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FFFFFF"/>
        </w:rPr>
        <w:t>Empowering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-127635</wp:posOffset>
            </wp:positionV>
            <wp:extent cx="6926580" cy="4800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6580" cy="4800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FFFFFF"/>
        </w:rPr>
        <w:t>Customers</w:t>
      </w:r>
    </w:p>
    <w:p>
      <w:pPr>
        <w:spacing w:after="0" w:line="31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goal is to delight our customers through innovative solutions that assist in reducing cyber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-528320</wp:posOffset>
            </wp:positionV>
            <wp:extent cx="6926580" cy="13544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6580"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FFFFFF"/>
        </w:rPr>
        <w:t>Supporting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FFFFFF"/>
        </w:rPr>
        <w:t>Team and</w:t>
      </w:r>
    </w:p>
    <w:p>
      <w:pPr>
        <w:spacing w:after="0"/>
        <w:rPr>
          <w:sz w:val="20"/>
          <w:szCs w:val="20"/>
          <w:color w:val="auto"/>
        </w:rPr>
      </w:pPr>
      <w:r>
        <w:rPr>
          <w:rFonts w:ascii="Arial" w:cs="Arial" w:eastAsia="Arial" w:hAnsi="Arial"/>
          <w:sz w:val="18"/>
          <w:szCs w:val="18"/>
          <w:color w:val="FFFFFF"/>
        </w:rPr>
        <w:t>Community</w:t>
      </w:r>
    </w:p>
    <w:p>
      <w:pPr>
        <w:spacing w:after="0" w:line="11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believe every employee makes a difference, and we strive to empower employees in their roles and support their career growth.</w:t>
      </w:r>
    </w:p>
    <w:p>
      <w:pPr>
        <w:spacing w:after="0" w:line="20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continuously work to strengthen our communities through volunteer efforts and charitable giving.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20"/>
        <w:spacing w:after="0" w:line="301" w:lineRule="auto"/>
        <w:rPr>
          <w:sz w:val="20"/>
          <w:szCs w:val="20"/>
          <w:color w:val="auto"/>
        </w:rPr>
      </w:pPr>
      <w:r>
        <w:rPr>
          <w:rFonts w:ascii="Arial" w:cs="Arial" w:eastAsia="Arial" w:hAnsi="Arial"/>
          <w:sz w:val="17"/>
          <w:szCs w:val="17"/>
          <w:color w:val="FFFFFF"/>
        </w:rPr>
        <w:t>Sustainable Business Operations</w:t>
      </w:r>
    </w:p>
    <w:p>
      <w:pPr>
        <w:spacing w:after="0" w:line="25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are committed to reducing the environmental impact of our operations and to providing more environmentally friendly solutions for our customers through our cloud-based platform.</w:t>
      </w:r>
    </w:p>
    <w:p>
      <w:pPr>
        <w:spacing w:after="0" w:line="651" w:lineRule="exact"/>
        <w:rPr>
          <w:sz w:val="20"/>
          <w:szCs w:val="20"/>
          <w:color w:val="auto"/>
        </w:rPr>
      </w:pPr>
    </w:p>
    <w:p>
      <w:pPr>
        <w:sectPr>
          <w:pgSz w:w="11900" w:h="16838" w:orient="portrait"/>
          <w:cols w:equalWidth="0" w:num="4">
            <w:col w:w="2900" w:space="180"/>
            <w:col w:w="2500" w:space="260"/>
            <w:col w:w="2380" w:space="280"/>
            <w:col w:w="2480"/>
          </w:cols>
          <w:pgMar w:left="440" w:top="296" w:right="47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of ESG</w:t>
      </w:r>
    </w:p>
    <w:p>
      <w:pPr>
        <w:spacing w:after="0" w:line="104" w:lineRule="exact"/>
        <w:rPr>
          <w:sz w:val="20"/>
          <w:szCs w:val="20"/>
          <w:color w:val="auto"/>
        </w:rPr>
      </w:pPr>
    </w:p>
    <w:p>
      <w:pPr>
        <w:ind w:firstLine="440"/>
        <w:spacing w:after="0" w:line="259" w:lineRule="auto"/>
        <w:rPr>
          <w:sz w:val="20"/>
          <w:szCs w:val="20"/>
          <w:color w:val="auto"/>
        </w:rPr>
      </w:pPr>
      <w:r>
        <w:rPr>
          <w:rFonts w:ascii="Arial" w:cs="Arial" w:eastAsia="Arial" w:hAnsi="Arial"/>
          <w:sz w:val="17"/>
          <w:szCs w:val="17"/>
          <w:color w:val="auto"/>
        </w:rPr>
        <w:t>Our board of directors believes that oversight of ESG issues is a key responsibility of the entire board. Each of our board committees works closely with management to oversee ESG across our business operations in the areas aligned with their respective responsibilities. Our Nominating and ESG Committee oversees our ESG activities, programs, and public disclosures. Our Audit and Risk Committee has oversight responsibility of policies on risk assessment and risk management, including security, data privacy, reliability, business continuity and capacity matters. Our Compensation and Talent Committee oversees a range of human capital management practices, including matters relating to talent acquisition, compensation, benefits, training and development, as well as employee diversity and inclusion.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96" w:right="47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ESG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163195</wp:posOffset>
            </wp:positionV>
            <wp:extent cx="5203190" cy="1491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0319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Responsible Business Practices</w:t>
      </w:r>
    </w:p>
    <w:p>
      <w:pPr>
        <w:spacing w:after="0" w:line="104"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We are committed to maintaining a strong corporate governance program that reflects best practices and continues to evolve as new expectations and opportunities emerge. Notable highlights include:</w:t>
      </w:r>
    </w:p>
    <w:p>
      <w:pPr>
        <w:spacing w:after="0" w:line="59" w:lineRule="exact"/>
        <w:rPr>
          <w:sz w:val="20"/>
          <w:szCs w:val="20"/>
          <w:color w:val="auto"/>
        </w:rPr>
      </w:pPr>
    </w:p>
    <w:p>
      <w:pPr>
        <w:ind w:left="960" w:right="180" w:hanging="424"/>
        <w:spacing w:after="0" w:line="24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acts in the best interest of our company and our stockholders, and meets or exceeds evolving regulatory, stockholder, business and other requirements. Our board established our Corporate Governance Guidelines that together with board committee charters and our certificate of incorporation and bylaws, constitute the primary structure for governance of our company.</w:t>
      </w:r>
    </w:p>
    <w:p>
      <w:pPr>
        <w:spacing w:after="0" w:line="79" w:lineRule="exact"/>
        <w:rPr>
          <w:rFonts w:ascii="Arial" w:cs="Arial" w:eastAsia="Arial" w:hAnsi="Arial"/>
          <w:sz w:val="18"/>
          <w:szCs w:val="18"/>
          <w:color w:val="auto"/>
        </w:rPr>
      </w:pPr>
    </w:p>
    <w:p>
      <w:pPr>
        <w:ind w:left="960" w:right="80" w:hanging="424"/>
        <w:spacing w:after="0" w:line="271"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Code of Business Conduct and Ethics applies to all directors, officers, employees of Qualys and our subsidiaries. Agents and contractors of Qualys are also expected to read, understand and abide by this code.</w:t>
      </w:r>
    </w:p>
    <w:p>
      <w:pPr>
        <w:spacing w:after="0" w:line="59" w:lineRule="exact"/>
        <w:rPr>
          <w:rFonts w:ascii="Arial" w:cs="Arial" w:eastAsia="Arial" w:hAnsi="Arial"/>
          <w:sz w:val="18"/>
          <w:szCs w:val="18"/>
          <w:color w:val="auto"/>
        </w:rPr>
      </w:pPr>
    </w:p>
    <w:p>
      <w:pPr>
        <w:ind w:left="960" w:right="240" w:hanging="424"/>
        <w:spacing w:after="0" w:line="242"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Responsible Sourcing</w:t>
      </w:r>
      <w:r>
        <w:rPr>
          <w:rFonts w:ascii="Arial" w:cs="Arial" w:eastAsia="Arial" w:hAnsi="Arial"/>
          <w:sz w:val="18"/>
          <w:szCs w:val="18"/>
          <w:color w:val="auto"/>
        </w:rPr>
        <w:t>. We are committed to ensuring that no modern slavery or human trafficking is associated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supply chains or with any part of our business. As part of our efforts, we participate in the following activities: (1) review procurement documentation to ensure it includes a requirement, as necessary, for our suppliers to confirm that they are not involved in modern slavery or human trafficking; (2) work to ensure that new suppliers declare that they are not involved in modern slavery or human trafficking; and (3) review our policies and training efforts to account for the requirements of the Modern Slavery Act of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Empowering Our Customers</w:t>
      </w:r>
    </w:p>
    <w:p>
      <w:pPr>
        <w:spacing w:after="0" w:line="104"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i w:val="1"/>
          <w:iCs w:val="1"/>
          <w:color w:val="auto"/>
        </w:rPr>
        <w:t xml:space="preserve">Data Security and Customer Privacy. </w:t>
      </w:r>
      <w:r>
        <w:rPr>
          <w:rFonts w:ascii="Arial" w:cs="Arial" w:eastAsia="Arial" w:hAnsi="Arial"/>
          <w:sz w:val="18"/>
          <w:szCs w:val="18"/>
          <w:color w:val="auto"/>
        </w:rPr>
        <w:t>We strongly believe in encouraging organizations to continually work toward improving their</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posture through the vulnerability detection, remediation and response capabilities of the Qualys Cloud Platform. Our cloud platform helps organizations protect their systems and applications from ever-evolving cyber-attacks and helps achieve compliance with internal policies and external regulations. Upholding this commitment to our customers means that we hold ourselves to the highest standards when it comes to our own data security policies and customer privacy programs. We continually work to enhance the security of our systems and provide customers with the strongest protections possible.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more information on our Qualys Cloud Platform, please see our 2022 annual report on Form 10-K.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Our Team and Community</w:t>
      </w:r>
    </w:p>
    <w:p>
      <w:pPr>
        <w:spacing w:after="0" w:line="104" w:lineRule="exact"/>
        <w:rPr>
          <w:sz w:val="20"/>
          <w:szCs w:val="20"/>
          <w:color w:val="auto"/>
        </w:rPr>
      </w:pPr>
    </w:p>
    <w:p>
      <w:pPr>
        <w:ind w:right="40" w:firstLine="440"/>
        <w:spacing w:after="0" w:line="271" w:lineRule="auto"/>
        <w:rPr>
          <w:sz w:val="20"/>
          <w:szCs w:val="20"/>
          <w:color w:val="auto"/>
        </w:rPr>
      </w:pPr>
      <w:r>
        <w:rPr>
          <w:rFonts w:ascii="Arial" w:cs="Arial" w:eastAsia="Arial" w:hAnsi="Arial"/>
          <w:sz w:val="18"/>
          <w:szCs w:val="18"/>
          <w:i w:val="1"/>
          <w:iCs w:val="1"/>
          <w:color w:val="auto"/>
        </w:rPr>
        <w:t xml:space="preserve">Talent Development, Health and Safety. </w:t>
      </w:r>
      <w:r>
        <w:rPr>
          <w:rFonts w:ascii="Arial" w:cs="Arial" w:eastAsia="Arial" w:hAnsi="Arial"/>
          <w:sz w:val="18"/>
          <w:szCs w:val="18"/>
          <w:color w:val="auto"/>
        </w:rPr>
        <w:t>We take a holistic approach to our social strategy, striving to create a culture where talented</w:t>
      </w:r>
      <w:r>
        <w:rPr>
          <w:rFonts w:ascii="Arial" w:cs="Arial" w:eastAsia="Arial" w:hAnsi="Arial"/>
          <w:sz w:val="18"/>
          <w:szCs w:val="18"/>
          <w:i w:val="1"/>
          <w:iCs w:val="1"/>
          <w:color w:val="auto"/>
        </w:rPr>
        <w:t xml:space="preserve"> </w:t>
      </w:r>
      <w:r>
        <w:rPr>
          <w:rFonts w:ascii="Arial" w:cs="Arial" w:eastAsia="Arial" w:hAnsi="Arial"/>
          <w:sz w:val="18"/>
          <w:szCs w:val="18"/>
          <w:color w:val="auto"/>
        </w:rPr>
        <w:t>people want to come to work, develop their careers, become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96" w:right="479" w:bottom="1440" w:gutter="0" w:footer="0" w:header="0"/>
        </w:sectPr>
      </w:pPr>
    </w:p>
    <w:bookmarkStart w:id="30" w:name="page31"/>
    <w:bookmarkEnd w:id="30"/>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leaders, and make a difference for all our stakeholders and communities. We believe every employee makes a difference, so we empower them in their roles and support them for maximum professional growth. We assist employees in achieving their career goals by helping them improve their skillsets and transition increasingly challenging roles.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more information on our Human Capital Resources, please see our 2022 annual report on Form 10-K.</w:t>
      </w:r>
    </w:p>
    <w:p>
      <w:pPr>
        <w:spacing w:after="0" w:line="212" w:lineRule="exact"/>
        <w:rPr>
          <w:sz w:val="20"/>
          <w:szCs w:val="20"/>
          <w:color w:val="auto"/>
        </w:rPr>
      </w:pPr>
    </w:p>
    <w:p>
      <w:pPr>
        <w:ind w:right="60" w:firstLine="440"/>
        <w:spacing w:after="0" w:line="242" w:lineRule="auto"/>
        <w:rPr>
          <w:sz w:val="20"/>
          <w:szCs w:val="20"/>
          <w:color w:val="auto"/>
        </w:rPr>
      </w:pPr>
      <w:r>
        <w:rPr>
          <w:rFonts w:ascii="Arial" w:cs="Arial" w:eastAsia="Arial" w:hAnsi="Arial"/>
          <w:sz w:val="18"/>
          <w:szCs w:val="18"/>
          <w:i w:val="1"/>
          <w:iCs w:val="1"/>
          <w:color w:val="auto"/>
        </w:rPr>
        <w:t xml:space="preserve">Diversity and Inclusion. </w:t>
      </w:r>
      <w:r>
        <w:rPr>
          <w:rFonts w:ascii="Arial" w:cs="Arial" w:eastAsia="Arial" w:hAnsi="Arial"/>
          <w:sz w:val="18"/>
          <w:szCs w:val="18"/>
          <w:color w:val="auto"/>
        </w:rPr>
        <w:t>We are proud to be a leader in the promotion and practice of diversity and inclusion. We take pride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cultural diversity with offices and employees all over the world. Our objective is to continue to improve our hiring, development, advancement, and retention of diverse talent and to foster an inclusive environment. In addition to having more than 50% of the executive team from underrepresented communities, we are also continuing to improve diversity among our growing workforce, with steady increases in recent years in the percentage of women employed among our global workforce and with over half of our US-based employees from underrepresented communities.</w:t>
      </w:r>
    </w:p>
    <w:p>
      <w:pPr>
        <w:spacing w:after="0" w:line="179" w:lineRule="exact"/>
        <w:rPr>
          <w:sz w:val="20"/>
          <w:szCs w:val="20"/>
          <w:color w:val="auto"/>
        </w:rPr>
      </w:pPr>
    </w:p>
    <w:p>
      <w:pPr>
        <w:ind w:right="200" w:firstLine="440"/>
        <w:spacing w:after="0" w:line="244" w:lineRule="auto"/>
        <w:rPr>
          <w:sz w:val="20"/>
          <w:szCs w:val="20"/>
          <w:color w:val="auto"/>
        </w:rPr>
      </w:pPr>
      <w:r>
        <w:rPr>
          <w:rFonts w:ascii="Arial" w:cs="Arial" w:eastAsia="Arial" w:hAnsi="Arial"/>
          <w:sz w:val="18"/>
          <w:szCs w:val="18"/>
          <w:i w:val="1"/>
          <w:iCs w:val="1"/>
          <w:color w:val="auto"/>
        </w:rPr>
        <w:t>Community Engagement</w:t>
      </w:r>
      <w:r>
        <w:rPr>
          <w:rFonts w:ascii="Arial" w:cs="Arial" w:eastAsia="Arial" w:hAnsi="Arial"/>
          <w:sz w:val="18"/>
          <w:szCs w:val="18"/>
          <w:color w:val="auto"/>
        </w:rPr>
        <w:t>. We value the communities that support our operations and have several company and employee-led</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initiatives to support the communities in which we operate. In 2022, our efforts were centered on advancing education, gender equality, and the environment. For example, in India, our team donated full scholarships to Computer Science and IT Engineering students at the Vellore Institute of Technology. We also continued to promote the growth of women in STEM by supporting the Lila Poonawalla Foundation.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Sustainable Business Operations</w:t>
      </w:r>
    </w:p>
    <w:p>
      <w:pPr>
        <w:spacing w:after="0" w:line="104" w:lineRule="exact"/>
        <w:rPr>
          <w:sz w:val="20"/>
          <w:szCs w:val="20"/>
          <w:color w:val="auto"/>
        </w:rPr>
      </w:pPr>
    </w:p>
    <w:p>
      <w:pPr>
        <w:ind w:right="240" w:firstLine="440"/>
        <w:spacing w:after="0" w:line="247" w:lineRule="auto"/>
        <w:rPr>
          <w:sz w:val="20"/>
          <w:szCs w:val="20"/>
          <w:color w:val="auto"/>
        </w:rPr>
      </w:pPr>
      <w:r>
        <w:rPr>
          <w:rFonts w:ascii="Arial" w:cs="Arial" w:eastAsia="Arial" w:hAnsi="Arial"/>
          <w:sz w:val="18"/>
          <w:szCs w:val="18"/>
          <w:i w:val="1"/>
          <w:iCs w:val="1"/>
          <w:color w:val="auto"/>
        </w:rPr>
        <w:t xml:space="preserve">Our Sustainable Solutions. </w:t>
      </w:r>
      <w:r>
        <w:rPr>
          <w:rFonts w:ascii="Arial" w:cs="Arial" w:eastAsia="Arial" w:hAnsi="Arial"/>
          <w:sz w:val="18"/>
          <w:szCs w:val="18"/>
          <w:color w:val="auto"/>
        </w:rPr>
        <w:t>Qualys products, delivered via our multi-tenant cloud platform, enable improved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sustainability for our customers. In particular, our cloud-based solutions minimize the number of physical servers our customers have to deploy within their own environments, reducing energy consumption on their end. Qualys Cloud Apps, delivering rich content and dashboards visible on any device, also reduce paper and printing costs for our customers.</w:t>
      </w:r>
    </w:p>
    <w:p>
      <w:pPr>
        <w:spacing w:after="0" w:line="174" w:lineRule="exact"/>
        <w:rPr>
          <w:sz w:val="20"/>
          <w:szCs w:val="20"/>
          <w:color w:val="auto"/>
        </w:rPr>
      </w:pPr>
    </w:p>
    <w:p>
      <w:pPr>
        <w:ind w:right="60" w:firstLine="440"/>
        <w:spacing w:after="0" w:line="247" w:lineRule="auto"/>
        <w:rPr>
          <w:sz w:val="20"/>
          <w:szCs w:val="20"/>
          <w:color w:val="auto"/>
        </w:rPr>
      </w:pPr>
      <w:r>
        <w:rPr>
          <w:rFonts w:ascii="Arial" w:cs="Arial" w:eastAsia="Arial" w:hAnsi="Arial"/>
          <w:sz w:val="18"/>
          <w:szCs w:val="18"/>
          <w:i w:val="1"/>
          <w:iCs w:val="1"/>
          <w:color w:val="auto"/>
        </w:rPr>
        <w:t xml:space="preserve">Our Eco-Friendly Operations. </w:t>
      </w:r>
      <w:r>
        <w:rPr>
          <w:rFonts w:ascii="Arial" w:cs="Arial" w:eastAsia="Arial" w:hAnsi="Arial"/>
          <w:sz w:val="18"/>
          <w:szCs w:val="18"/>
          <w:color w:val="auto"/>
        </w:rPr>
        <w:t>Our environmental, health and safety systems, processes and tools in place across our footprint</w:t>
      </w:r>
      <w:r>
        <w:rPr>
          <w:rFonts w:ascii="Arial" w:cs="Arial" w:eastAsia="Arial" w:hAnsi="Arial"/>
          <w:sz w:val="18"/>
          <w:szCs w:val="18"/>
          <w:i w:val="1"/>
          <w:iCs w:val="1"/>
          <w:color w:val="auto"/>
        </w:rPr>
        <w:t xml:space="preserve"> </w:t>
      </w:r>
      <w:r>
        <w:rPr>
          <w:rFonts w:ascii="Arial" w:cs="Arial" w:eastAsia="Arial" w:hAnsi="Arial"/>
          <w:sz w:val="18"/>
          <w:szCs w:val="18"/>
          <w:color w:val="auto"/>
        </w:rPr>
        <w:t>enable Qualys to meet or exceed governmental and industry requirements. We strive to consistently improve how we operate our platforms in energy-efficient networks and data centers as well as pursue sustainability initiatives that reduce energy, waste and materials consumption.</w:t>
      </w:r>
    </w:p>
    <w:p>
      <w:pPr>
        <w:spacing w:after="0" w:line="174" w:lineRule="exact"/>
        <w:rPr>
          <w:sz w:val="20"/>
          <w:szCs w:val="20"/>
          <w:color w:val="auto"/>
        </w:rPr>
      </w:pPr>
    </w:p>
    <w:p>
      <w:pPr>
        <w:ind w:right="100" w:firstLine="440"/>
        <w:spacing w:after="0" w:line="242" w:lineRule="auto"/>
        <w:rPr>
          <w:sz w:val="20"/>
          <w:szCs w:val="20"/>
          <w:color w:val="auto"/>
        </w:rPr>
      </w:pPr>
      <w:r>
        <w:rPr>
          <w:rFonts w:ascii="Arial" w:cs="Arial" w:eastAsia="Arial" w:hAnsi="Arial"/>
          <w:sz w:val="18"/>
          <w:szCs w:val="18"/>
          <w:i w:val="1"/>
          <w:iCs w:val="1"/>
          <w:color w:val="auto"/>
        </w:rPr>
        <w:t xml:space="preserve">Environmental Standards Within Supply Chain. </w:t>
      </w:r>
      <w:r>
        <w:rPr>
          <w:rFonts w:ascii="Arial" w:cs="Arial" w:eastAsia="Arial" w:hAnsi="Arial"/>
          <w:sz w:val="18"/>
          <w:szCs w:val="18"/>
          <w:color w:val="auto"/>
        </w:rPr>
        <w:t>We are committed to advancing supply chain responsibility and strive to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transparency and promote greater accountability in our own operations and with our suppliers. Qualys outsources product manufacturing and recycling to suppliers and vendors that follow the highest environmental standards in the industry, such as ISO 14001. We also prohibit our suppliers from profiting from the sale of tantalum, tin, tungsten, and gold (also known as “conflict minerals”) that funds conflict in the Democratic Republic of the Congo (DRC) and adjoining countries, and we require that our suppliers source these minerals from socially responsible suppliers.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Incorporation by Reference</w:t>
      </w:r>
    </w:p>
    <w:p>
      <w:pPr>
        <w:spacing w:after="0" w:line="104"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This proxy statement includes several website addresses or references to additional company reports or resources found on our corporate website. These website addresses are intended to provide inactive, textual references only. The information on these websites, including the information contained in those reports or resources, is not part of this proxy statement and is not incorporated by reference in this proxy statement.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96" w:right="4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OFFICERS</w:t>
      </w:r>
    </w:p>
    <w:p>
      <w:pPr>
        <w:spacing w:after="0" w:line="212" w:lineRule="exact"/>
        <w:rPr>
          <w:sz w:val="20"/>
          <w:szCs w:val="20"/>
          <w:color w:val="auto"/>
        </w:rPr>
      </w:pPr>
    </w:p>
    <w:p>
      <w:pPr>
        <w:ind w:right="20" w:firstLine="440"/>
        <w:spacing w:after="0" w:line="271" w:lineRule="auto"/>
        <w:rPr>
          <w:sz w:val="20"/>
          <w:szCs w:val="20"/>
          <w:color w:val="auto"/>
        </w:rPr>
      </w:pPr>
      <w:r>
        <w:rPr>
          <w:rFonts w:ascii="Arial" w:cs="Arial" w:eastAsia="Arial" w:hAnsi="Arial"/>
          <w:sz w:val="18"/>
          <w:szCs w:val="18"/>
          <w:color w:val="auto"/>
        </w:rPr>
        <w:t>The following table identifies certain information about our executive officers as of April 20, 2023. Officers are elected by our board of directors to hold office until their successors are elected and qualified.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shd w:val="clear" w:color="auto" w:fill="FF0C07"/>
          </w:tcPr>
          <w:p>
            <w:pPr>
              <w:spacing w:after="0"/>
              <w:rPr>
                <w:sz w:val="20"/>
                <w:szCs w:val="20"/>
                <w:color w:val="auto"/>
              </w:rPr>
            </w:pPr>
            <w:r>
              <w:rPr>
                <w:rFonts w:ascii="Arial" w:cs="Arial" w:eastAsia="Arial" w:hAnsi="Arial"/>
                <w:sz w:val="14"/>
                <w:szCs w:val="14"/>
                <w:b w:val="1"/>
                <w:bCs w:val="1"/>
                <w:color w:val="FFFFFF"/>
              </w:rPr>
              <w:t>Name</w:t>
            </w:r>
          </w:p>
        </w:tc>
        <w:tc>
          <w:tcPr>
            <w:tcW w:w="1360" w:type="dxa"/>
            <w:vAlign w:val="bottom"/>
            <w:shd w:val="clear" w:color="auto" w:fill="FF0C07"/>
          </w:tcPr>
          <w:p>
            <w:pPr>
              <w:jc w:val="right"/>
              <w:ind w:right="15"/>
              <w:spacing w:after="0"/>
              <w:rPr>
                <w:sz w:val="20"/>
                <w:szCs w:val="20"/>
                <w:color w:val="auto"/>
              </w:rPr>
            </w:pPr>
            <w:r>
              <w:rPr>
                <w:rFonts w:ascii="Arial" w:cs="Arial" w:eastAsia="Arial" w:hAnsi="Arial"/>
                <w:sz w:val="14"/>
                <w:szCs w:val="14"/>
                <w:b w:val="1"/>
                <w:bCs w:val="1"/>
                <w:color w:val="FFFFFF"/>
              </w:rPr>
              <w:t>Age</w:t>
            </w:r>
          </w:p>
        </w:tc>
        <w:tc>
          <w:tcPr>
            <w:tcW w:w="7180" w:type="dxa"/>
            <w:vAlign w:val="bottom"/>
            <w:shd w:val="clear" w:color="auto" w:fill="FF0C07"/>
          </w:tcPr>
          <w:p>
            <w:pPr>
              <w:ind w:left="80"/>
              <w:spacing w:after="0"/>
              <w:rPr>
                <w:sz w:val="20"/>
                <w:szCs w:val="20"/>
                <w:color w:val="auto"/>
              </w:rPr>
            </w:pPr>
            <w:r>
              <w:rPr>
                <w:rFonts w:ascii="Arial" w:cs="Arial" w:eastAsia="Arial" w:hAnsi="Arial"/>
                <w:sz w:val="14"/>
                <w:szCs w:val="14"/>
                <w:b w:val="1"/>
                <w:bCs w:val="1"/>
                <w:color w:val="FFFFFF"/>
              </w:rPr>
              <w:t>Position</w:t>
            </w:r>
          </w:p>
        </w:tc>
      </w:tr>
      <w:tr>
        <w:trPr>
          <w:trHeight w:val="184"/>
        </w:trPr>
        <w:tc>
          <w:tcPr>
            <w:tcW w:w="2480" w:type="dxa"/>
            <w:vAlign w:val="bottom"/>
          </w:tcPr>
          <w:p>
            <w:pPr>
              <w:spacing w:after="0" w:line="183" w:lineRule="exact"/>
              <w:rPr>
                <w:sz w:val="20"/>
                <w:szCs w:val="20"/>
                <w:color w:val="auto"/>
              </w:rPr>
            </w:pPr>
            <w:r>
              <w:rPr>
                <w:rFonts w:ascii="Arial" w:cs="Arial" w:eastAsia="Arial" w:hAnsi="Arial"/>
                <w:sz w:val="18"/>
                <w:szCs w:val="18"/>
                <w:color w:val="auto"/>
              </w:rPr>
              <w:t>Sumedh S. Thakar</w:t>
            </w:r>
          </w:p>
        </w:tc>
        <w:tc>
          <w:tcPr>
            <w:tcW w:w="1360" w:type="dxa"/>
            <w:vAlign w:val="bottom"/>
          </w:tcPr>
          <w:p>
            <w:pPr>
              <w:jc w:val="right"/>
              <w:ind w:right="15"/>
              <w:spacing w:after="0" w:line="183" w:lineRule="exact"/>
              <w:rPr>
                <w:sz w:val="20"/>
                <w:szCs w:val="20"/>
                <w:color w:val="auto"/>
              </w:rPr>
            </w:pPr>
            <w:r>
              <w:rPr>
                <w:rFonts w:ascii="Arial" w:cs="Arial" w:eastAsia="Arial" w:hAnsi="Arial"/>
                <w:sz w:val="18"/>
                <w:szCs w:val="18"/>
                <w:color w:val="auto"/>
              </w:rPr>
              <w:t>47</w:t>
            </w:r>
          </w:p>
        </w:tc>
        <w:tc>
          <w:tcPr>
            <w:tcW w:w="7180" w:type="dxa"/>
            <w:vAlign w:val="bottom"/>
          </w:tcPr>
          <w:p>
            <w:pPr>
              <w:ind w:left="80"/>
              <w:spacing w:after="0" w:line="183" w:lineRule="exact"/>
              <w:rPr>
                <w:sz w:val="20"/>
                <w:szCs w:val="20"/>
                <w:color w:val="auto"/>
              </w:rPr>
            </w:pPr>
            <w:r>
              <w:rPr>
                <w:rFonts w:ascii="Arial" w:cs="Arial" w:eastAsia="Arial" w:hAnsi="Arial"/>
                <w:sz w:val="18"/>
                <w:szCs w:val="18"/>
                <w:color w:val="auto"/>
              </w:rPr>
              <w:t>Director, President and Chief Executive Officer</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Joo Mi Kim</w:t>
            </w:r>
          </w:p>
        </w:tc>
        <w:tc>
          <w:tcPr>
            <w:tcW w:w="13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42</w:t>
            </w:r>
          </w:p>
        </w:tc>
        <w:tc>
          <w:tcPr>
            <w:tcW w:w="7180" w:type="dxa"/>
            <w:vAlign w:val="bottom"/>
          </w:tcPr>
          <w:p>
            <w:pPr>
              <w:ind w:left="80"/>
              <w:spacing w:after="0" w:line="202" w:lineRule="exact"/>
              <w:rPr>
                <w:sz w:val="20"/>
                <w:szCs w:val="20"/>
                <w:color w:val="auto"/>
              </w:rPr>
            </w:pPr>
            <w:r>
              <w:rPr>
                <w:rFonts w:ascii="Arial" w:cs="Arial" w:eastAsia="Arial" w:hAnsi="Arial"/>
                <w:sz w:val="18"/>
                <w:szCs w:val="18"/>
                <w:color w:val="auto"/>
              </w:rPr>
              <w:t>Chief Financial Officer</w:t>
            </w:r>
          </w:p>
        </w:tc>
      </w:tr>
      <w:tr>
        <w:trPr>
          <w:trHeight w:val="239"/>
        </w:trPr>
        <w:tc>
          <w:tcPr>
            <w:tcW w:w="2480" w:type="dxa"/>
            <w:vAlign w:val="bottom"/>
          </w:tcPr>
          <w:p>
            <w:pPr>
              <w:spacing w:after="0"/>
              <w:rPr>
                <w:sz w:val="20"/>
                <w:szCs w:val="20"/>
                <w:color w:val="auto"/>
              </w:rPr>
            </w:pPr>
            <w:r>
              <w:rPr>
                <w:rFonts w:ascii="Arial" w:cs="Arial" w:eastAsia="Arial" w:hAnsi="Arial"/>
                <w:sz w:val="18"/>
                <w:szCs w:val="18"/>
                <w:color w:val="auto"/>
              </w:rPr>
              <w:t>Bruce K. Posey</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71</w:t>
            </w:r>
          </w:p>
        </w:tc>
        <w:tc>
          <w:tcPr>
            <w:tcW w:w="7180" w:type="dxa"/>
            <w:vAlign w:val="bottom"/>
          </w:tcPr>
          <w:p>
            <w:pPr>
              <w:ind w:left="80"/>
              <w:spacing w:after="0"/>
              <w:rPr>
                <w:sz w:val="20"/>
                <w:szCs w:val="20"/>
                <w:color w:val="auto"/>
              </w:rPr>
            </w:pPr>
            <w:r>
              <w:rPr>
                <w:rFonts w:ascii="Arial" w:cs="Arial" w:eastAsia="Arial" w:hAnsi="Arial"/>
                <w:sz w:val="18"/>
                <w:szCs w:val="18"/>
                <w:color w:val="auto"/>
              </w:rPr>
              <w:t>Chief Legal Officer and Corporate Secretary</w:t>
            </w:r>
          </w:p>
        </w:tc>
      </w:tr>
    </w:tbl>
    <w:p>
      <w:pPr>
        <w:spacing w:after="0" w:line="180" w:lineRule="exact"/>
        <w:rPr>
          <w:sz w:val="20"/>
          <w:szCs w:val="20"/>
          <w:color w:val="auto"/>
        </w:rPr>
      </w:pPr>
    </w:p>
    <w:p>
      <w:pPr>
        <w:ind w:right="120" w:firstLine="440"/>
        <w:spacing w:after="0" w:line="271" w:lineRule="auto"/>
        <w:rPr>
          <w:sz w:val="20"/>
          <w:szCs w:val="20"/>
          <w:color w:val="auto"/>
        </w:rPr>
      </w:pPr>
      <w:r>
        <w:rPr>
          <w:rFonts w:ascii="Arial" w:cs="Arial" w:eastAsia="Arial" w:hAnsi="Arial"/>
          <w:sz w:val="18"/>
          <w:szCs w:val="18"/>
          <w:b w:val="1"/>
          <w:bCs w:val="1"/>
          <w:i w:val="1"/>
          <w:iCs w:val="1"/>
          <w:color w:val="auto"/>
        </w:rPr>
        <w:t xml:space="preserve">Sumedh S. Thakar </w:t>
      </w:r>
      <w:r>
        <w:rPr>
          <w:rFonts w:ascii="Arial" w:cs="Arial" w:eastAsia="Arial" w:hAnsi="Arial"/>
          <w:sz w:val="18"/>
          <w:szCs w:val="18"/>
          <w:color w:val="auto"/>
        </w:rPr>
        <w:t>is also a director of Qualys. Please see the section titled “</w:t>
      </w:r>
      <w:r>
        <w:rPr>
          <w:rFonts w:ascii="Arial" w:cs="Arial" w:eastAsia="Arial" w:hAnsi="Arial"/>
          <w:sz w:val="18"/>
          <w:szCs w:val="18"/>
          <w:i w:val="1"/>
          <w:iCs w:val="1"/>
          <w:color w:val="auto"/>
        </w:rPr>
        <w:t>Board of Directors and Corporate Governance</w:t>
      </w:r>
      <w:r>
        <w:rPr>
          <w:rFonts w:ascii="Arial" w:cs="Arial" w:eastAsia="Arial" w:hAnsi="Arial"/>
          <w:sz w:val="18"/>
          <w:szCs w:val="18"/>
          <w:color w:val="auto"/>
        </w:rPr>
        <w:t>” for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biography.</w:t>
      </w:r>
    </w:p>
    <w:p>
      <w:pPr>
        <w:spacing w:after="0" w:line="154"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b w:val="1"/>
          <w:bCs w:val="1"/>
          <w:i w:val="1"/>
          <w:iCs w:val="1"/>
          <w:color w:val="auto"/>
        </w:rPr>
        <w:t xml:space="preserve">Joo Mi Kim </w:t>
      </w:r>
      <w:r>
        <w:rPr>
          <w:rFonts w:ascii="Arial" w:cs="Arial" w:eastAsia="Arial" w:hAnsi="Arial"/>
          <w:sz w:val="18"/>
          <w:szCs w:val="18"/>
          <w:color w:val="auto"/>
        </w:rPr>
        <w:t>has served as our Chief Financial Officer since June 2020. Ms. Kim rejoined us from Impact, a partnership automation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company, where she served as Chief Financial Officer from September 2019 to June 2020. Ms. Kim previously served as Chief Financial Officer of Aera Technology, an enterprise cognitive technology company, from June 2018 to July 2019, and as Vice President, FP&amp;A, Investor Relations and Operations at Qualys from June 2016 to June 2018. From July 2015 to June 2016, Ms. Kim was Senior Director of Finance at Zynga, a social gaming company. From 2014 to 2015, she was Director of Finance at Anaplan, a planning and performance management platform provider, and from 2012 to 2014, she was Vice President, Finance and Corporate Operations at mLab. Earlier in her career, Ms. Kim was an associate at Foros, an investment bank, from 2009 to 2012, and at J.P. Morgan from 2008 to 2009. Ms. Kim began her career as an economic consultant at Ernst &amp; Young from 2003 to 2006. Ms. Kim holds a Bachelor of Arts degree in Economics from the University of Chicago and Master of Business Administration degree from the Wharton School of the University of Pennsylvania.</w:t>
      </w:r>
    </w:p>
    <w:p>
      <w:pPr>
        <w:spacing w:after="0" w:line="180" w:lineRule="exact"/>
        <w:rPr>
          <w:sz w:val="20"/>
          <w:szCs w:val="20"/>
          <w:color w:val="auto"/>
        </w:rPr>
      </w:pPr>
    </w:p>
    <w:p>
      <w:pPr>
        <w:ind w:right="40" w:firstLine="440"/>
        <w:spacing w:after="0" w:line="242" w:lineRule="auto"/>
        <w:rPr>
          <w:sz w:val="20"/>
          <w:szCs w:val="20"/>
          <w:color w:val="auto"/>
        </w:rPr>
      </w:pPr>
      <w:r>
        <w:rPr>
          <w:rFonts w:ascii="Arial" w:cs="Arial" w:eastAsia="Arial" w:hAnsi="Arial"/>
          <w:sz w:val="18"/>
          <w:szCs w:val="18"/>
          <w:b w:val="1"/>
          <w:bCs w:val="1"/>
          <w:i w:val="1"/>
          <w:iCs w:val="1"/>
          <w:color w:val="auto"/>
        </w:rPr>
        <w:t xml:space="preserve">Bruce K. Posey </w:t>
      </w:r>
      <w:r>
        <w:rPr>
          <w:rFonts w:ascii="Arial" w:cs="Arial" w:eastAsia="Arial" w:hAnsi="Arial"/>
          <w:sz w:val="18"/>
          <w:szCs w:val="18"/>
          <w:color w:val="auto"/>
        </w:rPr>
        <w:t>has served as our Chief Legal Officer since October 2021 and our Corporate Secretary since June 2012. Mr. Posey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previously our Vice President and General Counsel from May 2012 to October 2021.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96" w:right="439" w:bottom="1440" w:gutter="0" w:footer="0" w:header="0"/>
        </w:sectPr>
      </w:pPr>
    </w:p>
    <w:bookmarkStart w:id="32" w:name="page33"/>
    <w:bookmarkEnd w:id="3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04" w:lineRule="exact"/>
        <w:rPr>
          <w:sz w:val="20"/>
          <w:szCs w:val="20"/>
          <w:color w:val="auto"/>
        </w:rPr>
      </w:pPr>
    </w:p>
    <w:p>
      <w:pPr>
        <w:jc w:val="both"/>
        <w:ind w:left="4" w:right="600" w:firstLine="440"/>
        <w:spacing w:after="0" w:line="253" w:lineRule="auto"/>
        <w:rPr>
          <w:sz w:val="20"/>
          <w:szCs w:val="20"/>
          <w:color w:val="auto"/>
        </w:rPr>
      </w:pPr>
      <w:r>
        <w:rPr>
          <w:rFonts w:ascii="Arial" w:cs="Arial" w:eastAsia="Arial" w:hAnsi="Arial"/>
          <w:sz w:val="18"/>
          <w:szCs w:val="18"/>
          <w:color w:val="auto"/>
        </w:rPr>
        <w:t>This Compensation Discussion and Analysis provides an overview of the material components of our executive compensation program. The following individuals are collectively referred to in this Compensation Discussion and Analysis and the accompanying compensation tables as the “named executive officers”:</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2620" w:type="dxa"/>
            <w:vAlign w:val="bottom"/>
            <w:shd w:val="clear" w:color="auto" w:fill="FF0C07"/>
          </w:tcPr>
          <w:p>
            <w:pPr>
              <w:spacing w:after="0"/>
              <w:rPr>
                <w:sz w:val="20"/>
                <w:szCs w:val="20"/>
                <w:color w:val="auto"/>
              </w:rPr>
            </w:pPr>
            <w:r>
              <w:rPr>
                <w:rFonts w:ascii="Arial" w:cs="Arial" w:eastAsia="Arial" w:hAnsi="Arial"/>
                <w:sz w:val="14"/>
                <w:szCs w:val="14"/>
                <w:b w:val="1"/>
                <w:bCs w:val="1"/>
                <w:color w:val="FFFFFF"/>
              </w:rPr>
              <w:t>Name</w:t>
            </w:r>
          </w:p>
        </w:tc>
        <w:tc>
          <w:tcPr>
            <w:tcW w:w="8400" w:type="dxa"/>
            <w:vAlign w:val="bottom"/>
            <w:shd w:val="clear" w:color="auto" w:fill="FF0C07"/>
          </w:tcPr>
          <w:p>
            <w:pPr>
              <w:ind w:left="1120"/>
              <w:spacing w:after="0"/>
              <w:rPr>
                <w:sz w:val="20"/>
                <w:szCs w:val="20"/>
                <w:color w:val="auto"/>
              </w:rPr>
            </w:pPr>
            <w:r>
              <w:rPr>
                <w:rFonts w:ascii="Arial" w:cs="Arial" w:eastAsia="Arial" w:hAnsi="Arial"/>
                <w:sz w:val="14"/>
                <w:szCs w:val="14"/>
                <w:b w:val="1"/>
                <w:bCs w:val="1"/>
                <w:color w:val="FFFFFF"/>
              </w:rPr>
              <w:t>Position</w:t>
            </w:r>
          </w:p>
        </w:tc>
      </w:tr>
      <w:tr>
        <w:trPr>
          <w:trHeight w:val="184"/>
        </w:trPr>
        <w:tc>
          <w:tcPr>
            <w:tcW w:w="2620" w:type="dxa"/>
            <w:vAlign w:val="bottom"/>
          </w:tcPr>
          <w:p>
            <w:pPr>
              <w:spacing w:after="0" w:line="183" w:lineRule="exact"/>
              <w:rPr>
                <w:sz w:val="20"/>
                <w:szCs w:val="20"/>
                <w:color w:val="auto"/>
              </w:rPr>
            </w:pPr>
            <w:r>
              <w:rPr>
                <w:rFonts w:ascii="Arial" w:cs="Arial" w:eastAsia="Arial" w:hAnsi="Arial"/>
                <w:sz w:val="18"/>
                <w:szCs w:val="18"/>
                <w:color w:val="auto"/>
              </w:rPr>
              <w:t>Sumedh S. Thakar</w:t>
            </w:r>
          </w:p>
        </w:tc>
        <w:tc>
          <w:tcPr>
            <w:tcW w:w="8400" w:type="dxa"/>
            <w:vAlign w:val="bottom"/>
          </w:tcPr>
          <w:p>
            <w:pPr>
              <w:ind w:left="1120"/>
              <w:spacing w:after="0" w:line="183" w:lineRule="exact"/>
              <w:rPr>
                <w:sz w:val="20"/>
                <w:szCs w:val="20"/>
                <w:color w:val="auto"/>
              </w:rPr>
            </w:pPr>
            <w:r>
              <w:rPr>
                <w:rFonts w:ascii="Arial" w:cs="Arial" w:eastAsia="Arial" w:hAnsi="Arial"/>
                <w:sz w:val="18"/>
                <w:szCs w:val="18"/>
                <w:color w:val="auto"/>
              </w:rPr>
              <w:t>Director, President and Chief Executive Officer (“CEO”)</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Joo Mi Kim</w:t>
            </w:r>
          </w:p>
        </w:tc>
        <w:tc>
          <w:tcPr>
            <w:tcW w:w="8400" w:type="dxa"/>
            <w:vAlign w:val="bottom"/>
          </w:tcPr>
          <w:p>
            <w:pPr>
              <w:ind w:left="112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8400" w:type="dxa"/>
            <w:vAlign w:val="bottom"/>
          </w:tcPr>
          <w:p>
            <w:pPr>
              <w:ind w:left="1120"/>
              <w:spacing w:after="0" w:line="202" w:lineRule="exact"/>
              <w:rPr>
                <w:sz w:val="20"/>
                <w:szCs w:val="20"/>
                <w:color w:val="auto"/>
              </w:rPr>
            </w:pPr>
            <w:r>
              <w:rPr>
                <w:rFonts w:ascii="Arial" w:cs="Arial" w:eastAsia="Arial" w:hAnsi="Arial"/>
                <w:sz w:val="18"/>
                <w:szCs w:val="18"/>
                <w:color w:val="auto"/>
              </w:rPr>
              <w:t>Chief Legal Officer and Corporate Secretary</w:t>
            </w:r>
          </w:p>
        </w:tc>
      </w:tr>
      <w:tr>
        <w:trPr>
          <w:trHeight w:val="366"/>
        </w:trPr>
        <w:tc>
          <w:tcPr>
            <w:tcW w:w="2620" w:type="dxa"/>
            <w:vAlign w:val="bottom"/>
          </w:tcPr>
          <w:p>
            <w:pPr>
              <w:spacing w:after="0"/>
              <w:rPr>
                <w:sz w:val="20"/>
                <w:szCs w:val="20"/>
                <w:color w:val="auto"/>
              </w:rPr>
            </w:pPr>
            <w:r>
              <w:rPr>
                <w:rFonts w:ascii="Arial" w:cs="Arial" w:eastAsia="Arial" w:hAnsi="Arial"/>
                <w:sz w:val="18"/>
                <w:szCs w:val="18"/>
                <w:color w:val="auto"/>
              </w:rPr>
              <w:t xml:space="preserve">Allan Peters </w:t>
            </w:r>
            <w:r>
              <w:rPr>
                <w:rFonts w:ascii="Arial" w:cs="Arial" w:eastAsia="Arial" w:hAnsi="Arial"/>
                <w:sz w:val="26"/>
                <w:szCs w:val="26"/>
                <w:color w:val="auto"/>
                <w:vertAlign w:val="superscript"/>
              </w:rPr>
              <w:t>(1)</w:t>
            </w:r>
          </w:p>
        </w:tc>
        <w:tc>
          <w:tcPr>
            <w:tcW w:w="8400" w:type="dxa"/>
            <w:vAlign w:val="bottom"/>
          </w:tcPr>
          <w:p>
            <w:pPr>
              <w:ind w:left="1120"/>
              <w:spacing w:after="0"/>
              <w:rPr>
                <w:sz w:val="20"/>
                <w:szCs w:val="20"/>
                <w:color w:val="auto"/>
              </w:rPr>
            </w:pPr>
            <w:r>
              <w:rPr>
                <w:rFonts w:ascii="Arial" w:cs="Arial" w:eastAsia="Arial" w:hAnsi="Arial"/>
                <w:sz w:val="18"/>
                <w:szCs w:val="18"/>
                <w:color w:val="auto"/>
              </w:rPr>
              <w:t>Former Chief Revenue Officer (“CRO”)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715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 w:lineRule="exact"/>
        <w:rPr>
          <w:sz w:val="20"/>
          <w:szCs w:val="20"/>
          <w:color w:val="auto"/>
        </w:rPr>
      </w:pPr>
    </w:p>
    <w:p>
      <w:pPr>
        <w:ind w:left="424" w:hanging="424"/>
        <w:spacing w:after="0"/>
        <w:tabs>
          <w:tab w:leader="none" w:pos="4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Peters’ employment with us ended on February 7, 2023 with transition services provided through March 31, 2023.</w:t>
      </w:r>
    </w:p>
    <w:p>
      <w:pPr>
        <w:spacing w:after="0" w:line="32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left="224"/>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02" w:lineRule="exact"/>
        <w:rPr>
          <w:sz w:val="20"/>
          <w:szCs w:val="20"/>
          <w:color w:val="auto"/>
        </w:rPr>
      </w:pPr>
    </w:p>
    <w:p>
      <w:pPr>
        <w:ind w:left="4" w:right="40" w:firstLine="440"/>
        <w:spacing w:after="0" w:line="242" w:lineRule="auto"/>
        <w:rPr>
          <w:sz w:val="20"/>
          <w:szCs w:val="20"/>
          <w:color w:val="auto"/>
        </w:rPr>
      </w:pPr>
      <w:r>
        <w:rPr>
          <w:rFonts w:ascii="Arial" w:cs="Arial" w:eastAsia="Arial" w:hAnsi="Arial"/>
          <w:sz w:val="18"/>
          <w:szCs w:val="18"/>
          <w:color w:val="auto"/>
        </w:rPr>
        <w:t>We are a pioneer and leading provider of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IT,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w:t>
      </w:r>
    </w:p>
    <w:p>
      <w:pPr>
        <w:spacing w:after="0" w:line="179" w:lineRule="exact"/>
        <w:rPr>
          <w:sz w:val="20"/>
          <w:szCs w:val="20"/>
          <w:color w:val="auto"/>
        </w:rPr>
      </w:pPr>
    </w:p>
    <w:p>
      <w:pPr>
        <w:ind w:left="4" w:right="180" w:firstLine="440"/>
        <w:spacing w:after="0" w:line="242"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delivered in a single platform.</w:t>
      </w:r>
    </w:p>
    <w:p>
      <w:pPr>
        <w:spacing w:after="0" w:line="179" w:lineRule="exact"/>
        <w:rPr>
          <w:sz w:val="20"/>
          <w:szCs w:val="20"/>
          <w:color w:val="auto"/>
        </w:rPr>
      </w:pPr>
    </w:p>
    <w:p>
      <w:pPr>
        <w:ind w:left="4" w:right="280" w:firstLine="440"/>
        <w:spacing w:after="0" w:line="253" w:lineRule="auto"/>
        <w:rPr>
          <w:sz w:val="20"/>
          <w:szCs w:val="20"/>
          <w:color w:val="auto"/>
        </w:rPr>
      </w:pPr>
      <w:r>
        <w:rPr>
          <w:rFonts w:ascii="Arial" w:cs="Arial" w:eastAsia="Arial" w:hAnsi="Arial"/>
          <w:sz w:val="18"/>
          <w:szCs w:val="18"/>
          <w:color w:val="auto"/>
        </w:rPr>
        <w:t>We intend to leverage our innovation, extensive expertise and position as a trusted provider of cloud-based IT, security and compliance solutions to continue to grow our revenues and maintain strong profitability. In 2022, we continued our business momentum and improved our financial performance, as set forth in the bullets and graphics below:</w:t>
      </w:r>
    </w:p>
    <w:p>
      <w:pPr>
        <w:spacing w:after="0" w:line="74" w:lineRule="exact"/>
        <w:rPr>
          <w:sz w:val="20"/>
          <w:szCs w:val="20"/>
          <w:color w:val="auto"/>
        </w:rPr>
      </w:pPr>
    </w:p>
    <w:p>
      <w:pPr>
        <w:ind w:left="964" w:hanging="424"/>
        <w:spacing w:after="0"/>
        <w:tabs>
          <w:tab w:leader="none" w:pos="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Revenues increased by 19% to $489.7 million, as compared to $411.2 million in 2021;</w:t>
      </w:r>
    </w:p>
    <w:p>
      <w:pPr>
        <w:spacing w:after="0" w:line="117" w:lineRule="exact"/>
        <w:rPr>
          <w:rFonts w:ascii="Arial" w:cs="Arial" w:eastAsia="Arial" w:hAnsi="Arial"/>
          <w:sz w:val="18"/>
          <w:szCs w:val="18"/>
          <w:color w:val="auto"/>
        </w:rPr>
      </w:pPr>
    </w:p>
    <w:p>
      <w:pPr>
        <w:ind w:left="964" w:right="140" w:hanging="424"/>
        <w:spacing w:after="0" w:line="271" w:lineRule="auto"/>
        <w:tabs>
          <w:tab w:leader="none" w:pos="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increased by 52% to $108.0, which represents 22% of our 2022 revenues, as compared to $71.0 million in 2021, which represents 17% of our 2021 revenues;</w:t>
      </w:r>
    </w:p>
    <w:p>
      <w:pPr>
        <w:spacing w:after="0" w:line="59" w:lineRule="exact"/>
        <w:rPr>
          <w:rFonts w:ascii="Arial" w:cs="Arial" w:eastAsia="Arial" w:hAnsi="Arial"/>
          <w:sz w:val="18"/>
          <w:szCs w:val="18"/>
          <w:color w:val="auto"/>
        </w:rPr>
      </w:pPr>
    </w:p>
    <w:p>
      <w:pPr>
        <w:ind w:left="964" w:right="280" w:hanging="424"/>
        <w:spacing w:after="0" w:line="271" w:lineRule="auto"/>
        <w:tabs>
          <w:tab w:leader="none" w:pos="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(a non-GAAP financial measure) increased by 14% to $218.6 million, which represents 45% of our 2022 revenues, as compared to $191.2 million in 2021, which represents 46% of our 2021 revenues; and</w:t>
      </w:r>
    </w:p>
    <w:p>
      <w:pPr>
        <w:spacing w:after="0" w:line="59" w:lineRule="exact"/>
        <w:rPr>
          <w:rFonts w:ascii="Arial" w:cs="Arial" w:eastAsia="Arial" w:hAnsi="Arial"/>
          <w:sz w:val="18"/>
          <w:szCs w:val="18"/>
          <w:color w:val="auto"/>
        </w:rPr>
      </w:pPr>
    </w:p>
    <w:p>
      <w:pPr>
        <w:ind w:left="964" w:right="40" w:hanging="424"/>
        <w:spacing w:after="0" w:line="271" w:lineRule="auto"/>
        <w:tabs>
          <w:tab w:leader="none" w:pos="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EPS increased by 55% to $2.74, as compared to $1.77 in 2021. Non-GAAP EPS* increased by 16% to $3.72, as compared to $3.22 in 2021.</w:t>
      </w:r>
    </w:p>
    <w:p>
      <w:pPr>
        <w:spacing w:after="0" w:line="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96"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contains a reconciliation of these non-GAAP financial measures to their most directly comparable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163195</wp:posOffset>
            </wp:positionV>
            <wp:extent cx="5220335" cy="1491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2033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Consistent with our pay-for-performance philosophy, our non-equity incentive plan pays cash compensation based on achievement of bookings, revenue growth and non-GAAP EPS. The Compensation and Talent Committee selected these three metrics, which measure sales growth and profitability, as the corporate performance metrics that best support our annual operating plan and enhance long-term value creation. In 2022, the non-equity incentive plan paid out at approximately 85% of target; we exceeded non-GAAP EPS targets, but achievement on bookings and revenue growth was below the targets.</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 Pay and Governance Practices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maintain the following good executive pay and corporate governance policies and practices:</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What we do </w:t>
      </w:r>
      <w:r>
        <w:rPr>
          <w:sz w:val="1"/>
          <w:szCs w:val="1"/>
          <w:color w:val="auto"/>
        </w:rPr>
        <w:drawing>
          <wp:inline distT="0" distB="0" distL="0" distR="0">
            <wp:extent cx="154305" cy="12001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120015"/>
                    </a:xfrm>
                    <a:prstGeom prst="rect">
                      <a:avLst/>
                    </a:prstGeom>
                    <a:noFill/>
                    <a:ln>
                      <a:noFill/>
                    </a:ln>
                  </pic:spPr>
                </pic:pic>
              </a:graphicData>
            </a:graphic>
          </wp:inline>
        </w:drawing>
      </w:r>
    </w:p>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We balance near- and long-term strategic objectives by providing a mix of cash and equity incentives</w:t>
      </w:r>
    </w:p>
    <w:p>
      <w:pPr>
        <w:spacing w:after="0" w:line="9" w:lineRule="exact"/>
        <w:rPr>
          <w:sz w:val="20"/>
          <w:szCs w:val="20"/>
          <w:color w:val="auto"/>
        </w:rPr>
      </w:pPr>
    </w:p>
    <w:p>
      <w:pPr>
        <w:ind w:left="720" w:right="94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We cap non-equity incentive awards at 100% of target for all of our named executive officers, except our CRO whose commissions were capped at 200% of target</w:t>
      </w:r>
    </w:p>
    <w:p>
      <w:pPr>
        <w:spacing w:after="0" w:line="1" w:lineRule="exact"/>
        <w:rPr>
          <w:sz w:val="20"/>
          <w:szCs w:val="20"/>
          <w:color w:val="auto"/>
        </w:rPr>
      </w:pPr>
    </w:p>
    <w:p>
      <w:pPr>
        <w:ind w:left="720" w:right="60" w:hanging="359"/>
        <w:spacing w:after="0" w:line="20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A substantial portion of our named executive officers’ equity awards is performance-based equity with vesting and release of the PRSU awards capped at 100% of target performance in each of the first two years of the performance period. Cumulative achievement over 100% is vested and released at the end of the third year of the performance period, subject to the continued service by the executive through the date that performance is certified</w:t>
      </w:r>
    </w:p>
    <w:p>
      <w:pPr>
        <w:spacing w:after="0" w:line="2" w:lineRule="exact"/>
        <w:rPr>
          <w:sz w:val="20"/>
          <w:szCs w:val="20"/>
          <w:color w:val="auto"/>
        </w:rPr>
      </w:pPr>
    </w:p>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We audit our incentive plan processes, results, and payments on a regular basis</w:t>
      </w:r>
    </w:p>
    <w:p>
      <w:pPr>
        <w:spacing w:after="0" w:line="9" w:lineRule="exact"/>
        <w:rPr>
          <w:sz w:val="20"/>
          <w:szCs w:val="20"/>
          <w:color w:val="auto"/>
        </w:rPr>
      </w:pPr>
    </w:p>
    <w:p>
      <w:pPr>
        <w:ind w:left="720" w:right="56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We hold an annual stockholder advisory vote to approve our named executive officers’ compensation and we engage with stockholders and respond to their feedback on our executive compensation programs</w:t>
      </w:r>
    </w:p>
    <w:p>
      <w:pPr>
        <w:spacing w:after="0" w:line="1" w:lineRule="exact"/>
        <w:rPr>
          <w:sz w:val="20"/>
          <w:szCs w:val="20"/>
          <w:color w:val="auto"/>
        </w:rPr>
      </w:pPr>
    </w:p>
    <w:p>
      <w:pPr>
        <w:ind w:left="360" w:right="2780"/>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We adopted stock ownership guidelines for our non-employee directors and executive officers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We adopted a clawback policy for our former and current executive officers</w:t>
      </w:r>
    </w:p>
    <w:p>
      <w:pPr>
        <w:spacing w:after="0" w:line="1" w:lineRule="exact"/>
        <w:rPr>
          <w:sz w:val="20"/>
          <w:szCs w:val="20"/>
          <w:color w:val="auto"/>
        </w:rPr>
      </w:pPr>
    </w:p>
    <w:p>
      <w:pPr>
        <w:ind w:left="72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We prohibit hedging and pledging of our common stock by all directors, officers, employees and agents (such as consultants and independent contractors) of the Company as well as related parties</w:t>
      </w:r>
    </w:p>
    <w:p>
      <w:pPr>
        <w:spacing w:after="0" w:line="1" w:lineRule="exact"/>
        <w:rPr>
          <w:sz w:val="20"/>
          <w:szCs w:val="20"/>
          <w:color w:val="auto"/>
        </w:rPr>
      </w:pPr>
    </w:p>
    <w:p>
      <w:pPr>
        <w:ind w:left="720" w:right="36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Our Compensation and Talent Committee is made up solely of independent directors and makes all executive compensation decisions</w:t>
      </w:r>
    </w:p>
    <w:p>
      <w:pPr>
        <w:spacing w:after="0" w:line="1" w:lineRule="exact"/>
        <w:rPr>
          <w:sz w:val="20"/>
          <w:szCs w:val="20"/>
          <w:color w:val="auto"/>
        </w:rPr>
      </w:pPr>
    </w:p>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We review our Compensation and Talent Committee charter on a regular basis</w:t>
      </w:r>
    </w:p>
    <w:p>
      <w:pPr>
        <w:spacing w:after="0" w:line="3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What we are not doing </w:t>
      </w:r>
      <w:r>
        <w:rPr>
          <w:sz w:val="1"/>
          <w:szCs w:val="1"/>
          <w:color w:val="auto"/>
        </w:rPr>
        <w:drawing>
          <wp:inline distT="0" distB="0" distL="0" distR="0">
            <wp:extent cx="14541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p>
    <w:p>
      <w:pPr>
        <w:spacing w:after="0" w:line="15" w:lineRule="exact"/>
        <w:rPr>
          <w:sz w:val="20"/>
          <w:szCs w:val="20"/>
          <w:color w:val="auto"/>
        </w:rPr>
      </w:pPr>
    </w:p>
    <w:p>
      <w:pPr>
        <w:ind w:left="360" w:right="4100"/>
        <w:spacing w:after="0" w:line="260"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We do not offer material tax gross-ups to any of our named executive officers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    We do not pay dividends on unvested equity awards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96" w:right="499" w:bottom="1440" w:gutter="0" w:footer="0" w:header="0"/>
        </w:sectPr>
      </w:pPr>
    </w:p>
    <w:bookmarkStart w:id="34" w:name="page35"/>
    <w:bookmarkEnd w:id="34"/>
    <w:p>
      <w:pPr>
        <w:ind w:left="360" w:right="220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t>
      </w:r>
      <w:r>
        <w:rPr>
          <w:rFonts w:ascii="Arial" w:cs="Arial" w:eastAsia="Arial" w:hAnsi="Arial"/>
          <w:sz w:val="18"/>
          <w:szCs w:val="18"/>
          <w:i w:val="1"/>
          <w:iCs w:val="1"/>
          <w:color w:val="auto"/>
        </w:rPr>
        <w:t xml:space="preserve">    We do not offer special executive retirement plans to our named executive officers or other executives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    We do not guarantee salary increases for our named executive officers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w:t>
      </w:r>
    </w:p>
    <w:p>
      <w:pPr>
        <w:spacing w:after="0" w:line="104" w:lineRule="exact"/>
        <w:rPr>
          <w:sz w:val="20"/>
          <w:szCs w:val="20"/>
          <w:color w:val="auto"/>
        </w:rPr>
      </w:pPr>
    </w:p>
    <w:p>
      <w:pPr>
        <w:jc w:val="both"/>
        <w:ind w:right="200" w:firstLine="440"/>
        <w:spacing w:after="0" w:line="275" w:lineRule="auto"/>
        <w:rPr>
          <w:sz w:val="20"/>
          <w:szCs w:val="20"/>
          <w:color w:val="auto"/>
        </w:rPr>
      </w:pPr>
      <w:r>
        <w:rPr>
          <w:rFonts w:ascii="Arial" w:cs="Arial" w:eastAsia="Arial" w:hAnsi="Arial"/>
          <w:sz w:val="17"/>
          <w:szCs w:val="17"/>
          <w:color w:val="auto"/>
        </w:rPr>
        <w:t>Our compensation philosophy is to provide programs that attract and retain the best available personnel for positions of substantial responsibility, provide incentives for such persons to perform to the best of their abilities, and promote the success of our business. The following table identifies the main elements of our executive compensation program and the reason we chose to provide each element: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Element of Compensation</w:t>
            </w:r>
          </w:p>
        </w:tc>
        <w:tc>
          <w:tcPr>
            <w:tcW w:w="6040" w:type="dxa"/>
            <w:vAlign w:val="bottom"/>
            <w:gridSpan w:val="3"/>
          </w:tcPr>
          <w:p>
            <w:pPr>
              <w:ind w:left="840"/>
              <w:spacing w:after="0"/>
              <w:rPr>
                <w:sz w:val="20"/>
                <w:szCs w:val="20"/>
                <w:color w:val="auto"/>
              </w:rPr>
            </w:pPr>
            <w:r>
              <w:rPr>
                <w:rFonts w:ascii="Arial" w:cs="Arial" w:eastAsia="Arial" w:hAnsi="Arial"/>
                <w:sz w:val="14"/>
                <w:szCs w:val="14"/>
                <w:b w:val="1"/>
                <w:bCs w:val="1"/>
                <w:color w:val="auto"/>
              </w:rPr>
              <w:t>Basis for Providing Element</w:t>
            </w:r>
          </w:p>
        </w:tc>
      </w:tr>
      <w:tr>
        <w:trPr>
          <w:trHeight w:val="171"/>
        </w:trPr>
        <w:tc>
          <w:tcPr>
            <w:tcW w:w="17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Base Salary</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1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To provide compensation to our named executive officers for</w:t>
            </w:r>
          </w:p>
        </w:tc>
        <w:tc>
          <w:tcPr>
            <w:tcW w:w="20" w:type="dxa"/>
            <w:vAlign w:val="bottom"/>
          </w:tcPr>
          <w:p>
            <w:pPr>
              <w:spacing w:after="0"/>
              <w:rPr>
                <w:sz w:val="14"/>
                <w:szCs w:val="14"/>
                <w:color w:val="auto"/>
              </w:rPr>
            </w:pPr>
          </w:p>
        </w:tc>
      </w:tr>
      <w:tr>
        <w:trPr>
          <w:trHeight w:val="239"/>
        </w:trPr>
        <w:tc>
          <w:tcPr>
            <w:tcW w:w="17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services based on their experience and past performance</w:t>
            </w:r>
          </w:p>
        </w:tc>
      </w:tr>
      <w:tr>
        <w:trPr>
          <w:trHeight w:val="274"/>
        </w:trPr>
        <w:tc>
          <w:tcPr>
            <w:tcW w:w="5000" w:type="dxa"/>
            <w:vAlign w:val="bottom"/>
            <w:gridSpan w:val="2"/>
          </w:tcPr>
          <w:p>
            <w:pPr>
              <w:spacing w:after="0"/>
              <w:rPr>
                <w:sz w:val="20"/>
                <w:szCs w:val="20"/>
                <w:color w:val="auto"/>
              </w:rPr>
            </w:pPr>
            <w:r>
              <w:rPr>
                <w:rFonts w:ascii="Arial" w:cs="Arial" w:eastAsia="Arial" w:hAnsi="Arial"/>
                <w:sz w:val="18"/>
                <w:szCs w:val="18"/>
                <w:color w:val="auto"/>
              </w:rPr>
              <w:t>Non-Equity Incentive Plan Compensation</w:t>
            </w: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To motivate and reward our named executive officers for</w:t>
            </w:r>
          </w:p>
        </w:tc>
      </w:tr>
      <w:tr>
        <w:trPr>
          <w:trHeight w:val="203"/>
        </w:trPr>
        <w:tc>
          <w:tcPr>
            <w:tcW w:w="1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04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focusing on our company objectives that drive increased</w:t>
            </w:r>
          </w:p>
        </w:tc>
      </w:tr>
      <w:tr>
        <w:trPr>
          <w:trHeight w:val="239"/>
        </w:trPr>
        <w:tc>
          <w:tcPr>
            <w:tcW w:w="17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stockholder value</w:t>
            </w:r>
          </w:p>
        </w:tc>
      </w:tr>
      <w:tr>
        <w:trPr>
          <w:trHeight w:val="274"/>
        </w:trPr>
        <w:tc>
          <w:tcPr>
            <w:tcW w:w="5000" w:type="dxa"/>
            <w:vAlign w:val="bottom"/>
            <w:gridSpan w:val="2"/>
          </w:tcPr>
          <w:p>
            <w:pPr>
              <w:spacing w:after="0"/>
              <w:rPr>
                <w:sz w:val="20"/>
                <w:szCs w:val="20"/>
                <w:color w:val="auto"/>
              </w:rPr>
            </w:pPr>
            <w:r>
              <w:rPr>
                <w:rFonts w:ascii="Arial" w:cs="Arial" w:eastAsia="Arial" w:hAnsi="Arial"/>
                <w:sz w:val="18"/>
                <w:szCs w:val="18"/>
                <w:color w:val="auto"/>
              </w:rPr>
              <w:t>Equity Compensation</w:t>
            </w: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To align our named executive officers’ interests with the long-</w:t>
            </w:r>
          </w:p>
        </w:tc>
      </w:tr>
      <w:tr>
        <w:trPr>
          <w:trHeight w:val="203"/>
        </w:trPr>
        <w:tc>
          <w:tcPr>
            <w:tcW w:w="1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04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term interests of our stockholders and to promote the retention of</w:t>
            </w:r>
          </w:p>
        </w:tc>
      </w:tr>
      <w:tr>
        <w:trPr>
          <w:trHeight w:val="239"/>
        </w:trPr>
        <w:tc>
          <w:tcPr>
            <w:tcW w:w="17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our named executive officers</w:t>
            </w:r>
          </w:p>
        </w:tc>
      </w:tr>
      <w:tr>
        <w:trPr>
          <w:trHeight w:val="274"/>
        </w:trPr>
        <w:tc>
          <w:tcPr>
            <w:tcW w:w="5000" w:type="dxa"/>
            <w:vAlign w:val="bottom"/>
            <w:gridSpan w:val="2"/>
          </w:tcPr>
          <w:p>
            <w:pPr>
              <w:spacing w:after="0"/>
              <w:rPr>
                <w:sz w:val="20"/>
                <w:szCs w:val="20"/>
                <w:color w:val="auto"/>
              </w:rPr>
            </w:pPr>
            <w:r>
              <w:rPr>
                <w:rFonts w:ascii="Arial" w:cs="Arial" w:eastAsia="Arial" w:hAnsi="Arial"/>
                <w:sz w:val="18"/>
                <w:szCs w:val="18"/>
                <w:color w:val="auto"/>
              </w:rPr>
              <w:t>Non-Cash and Non-Equity Benefits</w:t>
            </w: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To provide for the safety and wellness of our named executive</w:t>
            </w:r>
          </w:p>
        </w:tc>
      </w:tr>
      <w:tr>
        <w:trPr>
          <w:trHeight w:val="239"/>
        </w:trPr>
        <w:tc>
          <w:tcPr>
            <w:tcW w:w="17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officers</w:t>
            </w:r>
          </w:p>
        </w:tc>
      </w:tr>
      <w:tr>
        <w:trPr>
          <w:trHeight w:val="274"/>
        </w:trPr>
        <w:tc>
          <w:tcPr>
            <w:tcW w:w="5000" w:type="dxa"/>
            <w:vAlign w:val="bottom"/>
            <w:gridSpan w:val="2"/>
          </w:tcPr>
          <w:p>
            <w:pPr>
              <w:spacing w:after="0"/>
              <w:rPr>
                <w:sz w:val="20"/>
                <w:szCs w:val="20"/>
                <w:color w:val="auto"/>
              </w:rPr>
            </w:pPr>
            <w:r>
              <w:rPr>
                <w:rFonts w:ascii="Arial" w:cs="Arial" w:eastAsia="Arial" w:hAnsi="Arial"/>
                <w:sz w:val="18"/>
                <w:szCs w:val="18"/>
                <w:color w:val="auto"/>
              </w:rPr>
              <w:t>Change in Control and Severance Payments and Benefits</w:t>
            </w: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To promote the retention of our named executive officers and, in</w:t>
            </w:r>
          </w:p>
        </w:tc>
      </w:tr>
      <w:tr>
        <w:trPr>
          <w:trHeight w:val="203"/>
        </w:trPr>
        <w:tc>
          <w:tcPr>
            <w:tcW w:w="1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04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the case of change in control benefits, incentivize them to</w:t>
            </w:r>
          </w:p>
        </w:tc>
      </w:tr>
      <w:tr>
        <w:trPr>
          <w:trHeight w:val="203"/>
        </w:trPr>
        <w:tc>
          <w:tcPr>
            <w:tcW w:w="1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04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identify and execute economic transactions for the benefit of our</w:t>
            </w:r>
          </w:p>
        </w:tc>
      </w:tr>
      <w:tr>
        <w:trPr>
          <w:trHeight w:val="239"/>
        </w:trPr>
        <w:tc>
          <w:tcPr>
            <w:tcW w:w="17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40" w:type="dxa"/>
            <w:vAlign w:val="bottom"/>
            <w:gridSpan w:val="3"/>
          </w:tcPr>
          <w:p>
            <w:pPr>
              <w:ind w:left="840"/>
              <w:spacing w:after="0"/>
              <w:rPr>
                <w:sz w:val="20"/>
                <w:szCs w:val="20"/>
                <w:color w:val="auto"/>
              </w:rPr>
            </w:pPr>
            <w:r>
              <w:rPr>
                <w:rFonts w:ascii="Arial" w:cs="Arial" w:eastAsia="Arial" w:hAnsi="Arial"/>
                <w:sz w:val="18"/>
                <w:szCs w:val="18"/>
                <w:color w:val="auto"/>
              </w:rPr>
              <w:t>stockholders</w:t>
            </w:r>
          </w:p>
        </w:tc>
      </w:tr>
      <w:tr>
        <w:trPr>
          <w:trHeight w:val="351"/>
        </w:trPr>
        <w:tc>
          <w:tcPr>
            <w:tcW w:w="1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33</w:t>
            </w: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20"/>
          </w:cols>
          <w:pgMar w:left="440" w:top="296"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Overview of Stockholder Engagement Process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2B5107"/>
        </w:rPr>
        <w:t>Engagement Prior to Annual Meeting</w:t>
      </w:r>
    </w:p>
    <w:p>
      <w:pPr>
        <w:spacing w:after="0" w:line="14" w:lineRule="exact"/>
        <w:rPr>
          <w:sz w:val="20"/>
          <w:szCs w:val="20"/>
          <w:color w:val="auto"/>
        </w:rPr>
      </w:pPr>
    </w:p>
    <w:p>
      <w:pPr>
        <w:ind w:left="360"/>
        <w:spacing w:after="0"/>
        <w:rPr>
          <w:sz w:val="20"/>
          <w:szCs w:val="20"/>
          <w:color w:val="auto"/>
        </w:rPr>
      </w:pPr>
      <w:r>
        <w:rPr>
          <w:sz w:val="1"/>
          <w:szCs w:val="1"/>
          <w:color w:val="auto"/>
        </w:rPr>
        <w:drawing>
          <wp:inline distT="0" distB="0" distL="0" distR="0">
            <wp:extent cx="59690" cy="6858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68580"/>
                    </a:xfrm>
                    <a:prstGeom prst="rect">
                      <a:avLst/>
                    </a:prstGeom>
                    <a:noFill/>
                    <a:ln>
                      <a:noFill/>
                    </a:ln>
                  </pic:spPr>
                </pic:pic>
              </a:graphicData>
            </a:graphic>
          </wp:inline>
        </w:drawing>
      </w:r>
      <w:r>
        <w:rPr>
          <w:rFonts w:ascii="Arial" w:cs="Arial" w:eastAsia="Arial" w:hAnsi="Arial"/>
          <w:sz w:val="17"/>
          <w:szCs w:val="17"/>
          <w:color w:val="auto"/>
        </w:rPr>
        <w:t xml:space="preserve">      Seek feedback on matters for stockholder</w:t>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consideration</w:t>
      </w:r>
    </w:p>
    <w:p>
      <w:pPr>
        <w:ind w:left="360"/>
        <w:spacing w:after="0"/>
        <w:rPr>
          <w:sz w:val="20"/>
          <w:szCs w:val="20"/>
          <w:color w:val="auto"/>
        </w:rPr>
      </w:pPr>
      <w:r>
        <w:rPr>
          <w:sz w:val="1"/>
          <w:szCs w:val="1"/>
          <w:color w:val="auto"/>
        </w:rPr>
        <w:drawing>
          <wp:inline distT="0" distB="0" distL="0" distR="0">
            <wp:extent cx="59690" cy="6858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68580"/>
                    </a:xfrm>
                    <a:prstGeom prst="rect">
                      <a:avLst/>
                    </a:prstGeom>
                    <a:noFill/>
                    <a:ln>
                      <a:noFill/>
                    </a:ln>
                  </pic:spPr>
                </pic:pic>
              </a:graphicData>
            </a:graphic>
          </wp:inline>
        </w:drawing>
      </w:r>
      <w:r>
        <w:rPr>
          <w:rFonts w:ascii="Arial" w:cs="Arial" w:eastAsia="Arial" w:hAnsi="Arial"/>
          <w:sz w:val="17"/>
          <w:szCs w:val="17"/>
          <w:color w:val="auto"/>
        </w:rPr>
        <w:t xml:space="preserve">      Publish annual report and proxy statement,</w:t>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highlighting recent Board and Company</w:t>
      </w:r>
    </w:p>
    <w:p>
      <w:pPr>
        <w:ind w:left="720"/>
        <w:spacing w:after="0"/>
        <w:rPr>
          <w:sz w:val="20"/>
          <w:szCs w:val="20"/>
          <w:color w:val="auto"/>
        </w:rPr>
      </w:pPr>
      <w:r>
        <w:rPr>
          <w:rFonts w:ascii="Arial" w:cs="Arial" w:eastAsia="Arial" w:hAnsi="Arial"/>
          <w:sz w:val="18"/>
          <w:szCs w:val="18"/>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177800</wp:posOffset>
            </wp:positionV>
            <wp:extent cx="137160"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960"/>
        <w:spacing w:after="0" w:line="245" w:lineRule="auto"/>
        <w:rPr>
          <w:sz w:val="20"/>
          <w:szCs w:val="20"/>
          <w:color w:val="auto"/>
        </w:rPr>
      </w:pPr>
      <w:r>
        <w:rPr>
          <w:rFonts w:ascii="Arial" w:cs="Arial" w:eastAsia="Arial" w:hAnsi="Arial"/>
          <w:sz w:val="18"/>
          <w:szCs w:val="18"/>
          <w:color w:val="2B5107"/>
        </w:rPr>
        <w:t>Off-Season Engagement and Evaluation of Best Practices</w:t>
      </w:r>
    </w:p>
    <w:p>
      <w:pPr>
        <w:ind w:left="360"/>
        <w:spacing w:after="0" w:line="235" w:lineRule="auto"/>
        <w:rPr>
          <w:sz w:val="20"/>
          <w:szCs w:val="20"/>
          <w:color w:val="auto"/>
        </w:rPr>
      </w:pPr>
      <w:r>
        <w:rPr>
          <w:sz w:val="1"/>
          <w:szCs w:val="1"/>
          <w:color w:val="auto"/>
        </w:rPr>
        <w:drawing>
          <wp:inline distT="0" distB="0" distL="0" distR="0">
            <wp:extent cx="59690" cy="6858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68580"/>
                    </a:xfrm>
                    <a:prstGeom prst="rect">
                      <a:avLst/>
                    </a:prstGeom>
                    <a:noFill/>
                    <a:ln>
                      <a:noFill/>
                    </a:ln>
                  </pic:spPr>
                </pic:pic>
              </a:graphicData>
            </a:graphic>
          </wp:inline>
        </w:drawing>
      </w:r>
      <w:r>
        <w:rPr>
          <w:rFonts w:ascii="Arial" w:cs="Arial" w:eastAsia="Arial" w:hAnsi="Arial"/>
          <w:sz w:val="18"/>
          <w:szCs w:val="18"/>
          <w:color w:val="auto"/>
        </w:rPr>
        <w:t xml:space="preserve">      Engage with stockholders and other</w:t>
      </w:r>
    </w:p>
    <w:p>
      <w:pPr>
        <w:ind w:left="720"/>
        <w:spacing w:after="0" w:line="235" w:lineRule="auto"/>
        <w:rPr>
          <w:sz w:val="20"/>
          <w:szCs w:val="20"/>
          <w:color w:val="auto"/>
        </w:rPr>
      </w:pPr>
      <w:r>
        <w:rPr>
          <w:rFonts w:ascii="Arial" w:cs="Arial" w:eastAsia="Arial" w:hAnsi="Arial"/>
          <w:sz w:val="18"/>
          <w:szCs w:val="18"/>
          <w:color w:val="auto"/>
        </w:rPr>
        <w:t>stakeholders to better understand their</w:t>
      </w:r>
    </w:p>
    <w:p>
      <w:pPr>
        <w:ind w:left="720"/>
        <w:spacing w:after="0" w:line="234" w:lineRule="auto"/>
        <w:rPr>
          <w:sz w:val="20"/>
          <w:szCs w:val="20"/>
          <w:color w:val="auto"/>
        </w:rPr>
      </w:pPr>
      <w:r>
        <w:rPr>
          <w:rFonts w:ascii="Arial" w:cs="Arial" w:eastAsia="Arial" w:hAnsi="Arial"/>
          <w:sz w:val="18"/>
          <w:szCs w:val="18"/>
          <w:color w:val="auto"/>
        </w:rPr>
        <w:t>viewpoints and inform discussions in the</w:t>
      </w:r>
    </w:p>
    <w:p>
      <w:pPr>
        <w:ind w:left="720"/>
        <w:spacing w:after="0" w:line="235" w:lineRule="auto"/>
        <w:rPr>
          <w:sz w:val="20"/>
          <w:szCs w:val="20"/>
          <w:color w:val="auto"/>
        </w:rPr>
      </w:pPr>
      <w:r>
        <w:rPr>
          <w:rFonts w:ascii="Arial" w:cs="Arial" w:eastAsia="Arial" w:hAnsi="Arial"/>
          <w:sz w:val="18"/>
          <w:szCs w:val="18"/>
          <w:color w:val="auto"/>
        </w:rPr>
        <w:t>boardroom</w:t>
      </w:r>
    </w:p>
    <w:p>
      <w:pPr>
        <w:ind w:left="360"/>
        <w:spacing w:after="0" w:line="235" w:lineRule="auto"/>
        <w:rPr>
          <w:sz w:val="20"/>
          <w:szCs w:val="20"/>
          <w:color w:val="auto"/>
        </w:rPr>
      </w:pPr>
      <w:r>
        <w:rPr>
          <w:sz w:val="1"/>
          <w:szCs w:val="1"/>
          <w:color w:val="auto"/>
        </w:rPr>
        <w:drawing>
          <wp:inline distT="0" distB="0" distL="0" distR="0">
            <wp:extent cx="59690" cy="6858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68580"/>
                    </a:xfrm>
                    <a:prstGeom prst="rect">
                      <a:avLst/>
                    </a:prstGeom>
                    <a:noFill/>
                    <a:ln>
                      <a:noFill/>
                    </a:ln>
                  </pic:spPr>
                </pic:pic>
              </a:graphicData>
            </a:graphic>
          </wp:inline>
        </w:drawing>
      </w:r>
      <w:r>
        <w:rPr>
          <w:rFonts w:ascii="Arial" w:cs="Arial" w:eastAsia="Arial" w:hAnsi="Arial"/>
          <w:sz w:val="18"/>
          <w:szCs w:val="18"/>
          <w:color w:val="auto"/>
        </w:rPr>
        <w:t xml:space="preserve">      Evaluate potential changes to</w:t>
      </w:r>
    </w:p>
    <w:p>
      <w:pPr>
        <w:ind w:left="720"/>
        <w:spacing w:after="0" w:line="235" w:lineRule="auto"/>
        <w:rPr>
          <w:sz w:val="20"/>
          <w:szCs w:val="20"/>
          <w:color w:val="auto"/>
        </w:rPr>
      </w:pPr>
      <w:r>
        <w:rPr>
          <w:rFonts w:ascii="Arial" w:cs="Arial" w:eastAsia="Arial" w:hAnsi="Arial"/>
          <w:sz w:val="18"/>
          <w:szCs w:val="18"/>
          <w:color w:val="auto"/>
        </w:rPr>
        <w:t>environmental, social, governance and</w:t>
      </w:r>
    </w:p>
    <w:p>
      <w:pPr>
        <w:jc w:val="right"/>
        <w:ind w:right="600"/>
        <w:spacing w:after="0" w:line="235" w:lineRule="auto"/>
        <w:rPr>
          <w:sz w:val="20"/>
          <w:szCs w:val="20"/>
          <w:color w:val="auto"/>
        </w:rPr>
      </w:pPr>
      <w:r>
        <w:rPr>
          <w:rFonts w:ascii="Arial" w:cs="Arial" w:eastAsia="Arial" w:hAnsi="Arial"/>
          <w:sz w:val="18"/>
          <w:szCs w:val="18"/>
          <w:color w:val="auto"/>
        </w:rPr>
        <w:t>executive compensation practices in light of</w:t>
      </w:r>
    </w:p>
    <w:p>
      <w:pPr>
        <w:ind w:left="720"/>
        <w:spacing w:after="0" w:line="234" w:lineRule="auto"/>
        <w:rPr>
          <w:sz w:val="20"/>
          <w:szCs w:val="20"/>
          <w:color w:val="auto"/>
        </w:rPr>
      </w:pPr>
      <w:r>
        <w:rPr>
          <w:rFonts w:ascii="Arial" w:cs="Arial" w:eastAsia="Arial" w:hAnsi="Arial"/>
          <w:sz w:val="18"/>
          <w:szCs w:val="18"/>
          <w:color w:val="auto"/>
        </w:rPr>
        <w:t>stockholder feedback and review of</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B5107"/>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-513080</wp:posOffset>
            </wp:positionV>
            <wp:extent cx="717486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360"/>
        <w:spacing w:after="0"/>
        <w:rPr>
          <w:sz w:val="20"/>
          <w:szCs w:val="20"/>
          <w:color w:val="auto"/>
        </w:rPr>
      </w:pPr>
      <w:r>
        <w:rPr>
          <w:sz w:val="1"/>
          <w:szCs w:val="1"/>
          <w:color w:val="auto"/>
        </w:rPr>
        <w:drawing>
          <wp:inline distT="0" distB="0" distL="0" distR="0">
            <wp:extent cx="60325" cy="6858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7"/>
          <w:szCs w:val="17"/>
          <w:color w:val="auto"/>
        </w:rPr>
        <w:t xml:space="preserve">      Provide environment for direct engagement among Board</w:t>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members, senior management, and stockholders</w:t>
      </w:r>
    </w:p>
    <w:p>
      <w:pPr>
        <w:ind w:left="360"/>
        <w:spacing w:after="0" w:line="234" w:lineRule="auto"/>
        <w:rPr>
          <w:sz w:val="20"/>
          <w:szCs w:val="20"/>
          <w:color w:val="auto"/>
        </w:rPr>
      </w:pPr>
      <w:r>
        <w:rPr>
          <w:sz w:val="1"/>
          <w:szCs w:val="1"/>
          <w:color w:val="auto"/>
        </w:rPr>
        <w:drawing>
          <wp:inline distT="0" distB="0" distL="0" distR="0">
            <wp:extent cx="60325" cy="6858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8"/>
          <w:szCs w:val="18"/>
          <w:color w:val="auto"/>
        </w:rPr>
        <w:t xml:space="preserve">      Opportunity for stockholders to ask questions about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-66675</wp:posOffset>
            </wp:positionV>
            <wp:extent cx="55753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7530" cy="137160"/>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Company</w:t>
      </w:r>
    </w:p>
    <w:p>
      <w:pPr>
        <w:ind w:left="360"/>
        <w:spacing w:after="0" w:line="235" w:lineRule="auto"/>
        <w:rPr>
          <w:sz w:val="20"/>
          <w:szCs w:val="20"/>
          <w:color w:val="auto"/>
        </w:rPr>
      </w:pPr>
      <w:r>
        <w:rPr>
          <w:sz w:val="1"/>
          <w:szCs w:val="1"/>
          <w:color w:val="auto"/>
        </w:rPr>
        <w:drawing>
          <wp:inline distT="0" distB="0" distL="0" distR="0">
            <wp:extent cx="60325" cy="6858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8"/>
          <w:szCs w:val="18"/>
          <w:color w:val="auto"/>
        </w:rPr>
        <w:t xml:space="preserve">      Determine voting results for Company and stockholder</w:t>
      </w:r>
    </w:p>
    <w:p>
      <w:pPr>
        <w:ind w:left="720"/>
        <w:spacing w:after="0"/>
        <w:rPr>
          <w:sz w:val="20"/>
          <w:szCs w:val="20"/>
          <w:color w:val="auto"/>
        </w:rPr>
      </w:pPr>
      <w:r>
        <w:rPr>
          <w:rFonts w:ascii="Arial" w:cs="Arial" w:eastAsia="Arial" w:hAnsi="Arial"/>
          <w:sz w:val="18"/>
          <w:szCs w:val="18"/>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48895</wp:posOffset>
            </wp:positionV>
            <wp:extent cx="137160" cy="317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3175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2B5107"/>
        </w:rPr>
        <w:t>Post Annual Meeting</w:t>
      </w:r>
    </w:p>
    <w:p>
      <w:pPr>
        <w:spacing w:after="0" w:line="198" w:lineRule="exact"/>
        <w:rPr>
          <w:sz w:val="20"/>
          <w:szCs w:val="20"/>
          <w:color w:val="auto"/>
        </w:rPr>
      </w:pPr>
    </w:p>
    <w:p>
      <w:pPr>
        <w:ind w:left="360"/>
        <w:spacing w:after="0"/>
        <w:rPr>
          <w:sz w:val="20"/>
          <w:szCs w:val="20"/>
          <w:color w:val="auto"/>
        </w:rPr>
      </w:pPr>
      <w:r>
        <w:rPr>
          <w:sz w:val="1"/>
          <w:szCs w:val="1"/>
          <w:color w:val="auto"/>
        </w:rPr>
        <w:drawing>
          <wp:inline distT="0" distB="0" distL="0" distR="0">
            <wp:extent cx="60325" cy="6858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7"/>
          <w:szCs w:val="17"/>
          <w:color w:val="auto"/>
        </w:rPr>
        <w:t xml:space="preserve">      Discuss vote outcomes in light of existing practices, as well</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feedback received from stockholders during the proxy</w:t>
      </w:r>
    </w:p>
    <w:p>
      <w:pPr>
        <w:ind w:left="720"/>
        <w:spacing w:after="0" w:line="234" w:lineRule="auto"/>
        <w:rPr>
          <w:sz w:val="20"/>
          <w:szCs w:val="20"/>
          <w:color w:val="auto"/>
        </w:rPr>
      </w:pPr>
      <w:r>
        <w:rPr>
          <w:rFonts w:ascii="Arial" w:cs="Arial" w:eastAsia="Arial" w:hAnsi="Arial"/>
          <w:sz w:val="18"/>
          <w:szCs w:val="18"/>
          <w:color w:val="auto"/>
        </w:rPr>
        <w:t>season</w:t>
      </w:r>
    </w:p>
    <w:p>
      <w:pPr>
        <w:ind w:left="360"/>
        <w:spacing w:after="0" w:line="235" w:lineRule="auto"/>
        <w:rPr>
          <w:sz w:val="20"/>
          <w:szCs w:val="20"/>
          <w:color w:val="auto"/>
        </w:rPr>
      </w:pPr>
      <w:r>
        <w:rPr>
          <w:sz w:val="1"/>
          <w:szCs w:val="1"/>
          <w:color w:val="auto"/>
        </w:rPr>
        <w:drawing>
          <wp:inline distT="0" distB="0" distL="0" distR="0">
            <wp:extent cx="60325" cy="6858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8"/>
          <w:szCs w:val="18"/>
          <w:color w:val="auto"/>
        </w:rPr>
        <w:t xml:space="preserve">      Review corporate governance trends, recent regulatory</w:t>
      </w:r>
    </w:p>
    <w:p>
      <w:pPr>
        <w:ind w:left="720"/>
        <w:spacing w:after="0" w:line="235" w:lineRule="auto"/>
        <w:rPr>
          <w:sz w:val="20"/>
          <w:szCs w:val="20"/>
          <w:color w:val="auto"/>
        </w:rPr>
      </w:pPr>
      <w:r>
        <w:rPr>
          <w:rFonts w:ascii="Arial" w:cs="Arial" w:eastAsia="Arial" w:hAnsi="Arial"/>
          <w:sz w:val="18"/>
          <w:szCs w:val="18"/>
          <w:color w:val="auto"/>
        </w:rPr>
        <w:t>developments and the Company’s own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-127000</wp:posOffset>
            </wp:positionV>
            <wp:extent cx="55753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530" cy="137160"/>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governance documents, policies and procedures</w:t>
      </w:r>
    </w:p>
    <w:p>
      <w:pPr>
        <w:ind w:left="360"/>
        <w:spacing w:after="0" w:line="235" w:lineRule="auto"/>
        <w:rPr>
          <w:sz w:val="20"/>
          <w:szCs w:val="20"/>
          <w:color w:val="auto"/>
        </w:rPr>
      </w:pPr>
      <w:r>
        <w:rPr>
          <w:sz w:val="1"/>
          <w:szCs w:val="1"/>
          <w:color w:val="auto"/>
        </w:rPr>
        <w:drawing>
          <wp:inline distT="0" distB="0" distL="0" distR="0">
            <wp:extent cx="60325" cy="6858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8"/>
          <w:szCs w:val="18"/>
          <w:color w:val="auto"/>
        </w:rPr>
        <w:t xml:space="preserve">      Determine topics for discussion during off-season</w:t>
      </w:r>
    </w:p>
    <w:p>
      <w:pPr>
        <w:ind w:left="720"/>
        <w:spacing w:after="0"/>
        <w:rPr>
          <w:sz w:val="20"/>
          <w:szCs w:val="20"/>
          <w:color w:val="auto"/>
        </w:rPr>
      </w:pPr>
      <w:r>
        <w:rPr>
          <w:rFonts w:ascii="Arial" w:cs="Arial" w:eastAsia="Arial" w:hAnsi="Arial"/>
          <w:sz w:val="18"/>
          <w:szCs w:val="18"/>
          <w:color w:val="auto"/>
        </w:rPr>
        <w:t>stockholder engagement</w:t>
      </w:r>
    </w:p>
    <w:p>
      <w:pPr>
        <w:spacing w:after="0" w:line="402" w:lineRule="exact"/>
        <w:rPr>
          <w:sz w:val="20"/>
          <w:szCs w:val="20"/>
          <w:color w:val="auto"/>
        </w:rPr>
      </w:pPr>
    </w:p>
    <w:p>
      <w:pPr>
        <w:sectPr>
          <w:pgSz w:w="11900" w:h="16838" w:orient="portrait"/>
          <w:cols w:equalWidth="0" w:num="2">
            <w:col w:w="4780" w:space="720"/>
            <w:col w:w="5480"/>
          </w:cols>
          <w:pgMar w:left="440" w:top="296" w:right="47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Engagement and Advisory Vote on Executive Compensation</w:t>
      </w:r>
    </w:p>
    <w:p>
      <w:pPr>
        <w:spacing w:after="0" w:line="104" w:lineRule="exact"/>
        <w:rPr>
          <w:sz w:val="20"/>
          <w:szCs w:val="20"/>
          <w:color w:val="auto"/>
        </w:rPr>
      </w:pPr>
    </w:p>
    <w:p>
      <w:pPr>
        <w:ind w:firstLine="440"/>
        <w:spacing w:after="0" w:line="259" w:lineRule="auto"/>
        <w:rPr>
          <w:sz w:val="20"/>
          <w:szCs w:val="20"/>
          <w:color w:val="auto"/>
        </w:rPr>
      </w:pPr>
      <w:r>
        <w:rPr>
          <w:rFonts w:ascii="Arial" w:cs="Arial" w:eastAsia="Arial" w:hAnsi="Arial"/>
          <w:sz w:val="17"/>
          <w:szCs w:val="17"/>
          <w:color w:val="auto"/>
        </w:rPr>
        <w:t>Our Compensation and Talent Committee considers the results of the annual stockholder advisory vote on the compensation of our named executive officers (“Say on Pay”) and stockholder feedback on our executive compensation program as part of its annual executive compensation review. In 2022, our “Say on Pay” proposal received 90% support and we continued to reach out to our stockholders to discuss our compensation programs. Based on this strong stockholder support and the positive feedback we received during our stockholder outreach, our Compensation and Talent Committee determined to maintain the parameters of our existing executive compensation program and policies. However, we continue to incorporate stockholder feedback into our compensation structure.</w:t>
      </w:r>
    </w:p>
    <w:p>
      <w:pPr>
        <w:spacing w:after="0" w:line="165" w:lineRule="exact"/>
        <w:rPr>
          <w:sz w:val="20"/>
          <w:szCs w:val="20"/>
          <w:color w:val="auto"/>
        </w:rPr>
      </w:pPr>
    </w:p>
    <w:p>
      <w:pPr>
        <w:ind w:right="20" w:firstLine="440"/>
        <w:spacing w:after="0" w:line="244" w:lineRule="auto"/>
        <w:rPr>
          <w:sz w:val="20"/>
          <w:szCs w:val="20"/>
          <w:color w:val="auto"/>
        </w:rPr>
      </w:pPr>
      <w:r>
        <w:rPr>
          <w:rFonts w:ascii="Arial" w:cs="Arial" w:eastAsia="Arial" w:hAnsi="Arial"/>
          <w:sz w:val="18"/>
          <w:szCs w:val="18"/>
          <w:color w:val="auto"/>
        </w:rPr>
        <w:t>In addition to our ongoing dialogue with our stockholders on our strategy and value proposition, in 2022 we reached out to 33 of our top stockholders to discuss our executive compensation program and other ESG initiatives. These top 33 stockholders held approximately 69% of our outstanding stock as of December 31, 2022. Seven stockholders, representing approximately 23% of our outstanding stock as of December 31, 2022, accepted our invitation for engagement. These stockholders noted their support for recent changes to our executive compensation program.</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96" w:right="479" w:bottom="1440" w:gutter="0" w:footer="0" w:header="0"/>
          <w:type w:val="continuous"/>
        </w:sectPr>
      </w:pPr>
    </w:p>
    <w:bookmarkStart w:id="36" w:name="page37"/>
    <w:bookmarkEnd w:id="36"/>
    <w:p>
      <w:pPr>
        <w:ind w:left="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Our outreach included </w:t>
      </w:r>
      <w:r>
        <w:rPr>
          <w:rFonts w:ascii="Arial" w:cs="Arial" w:eastAsia="Arial" w:hAnsi="Arial"/>
          <w:sz w:val="18"/>
          <w:szCs w:val="18"/>
          <w:b w:val="1"/>
          <w:bCs w:val="1"/>
          <w:color w:val="60E205"/>
        </w:rPr>
        <w:t>33 of our top stockholders</w:t>
      </w:r>
      <w:r>
        <w:rPr>
          <w:rFonts w:ascii="Arial" w:cs="Arial" w:eastAsia="Arial" w:hAnsi="Arial"/>
          <w:sz w:val="18"/>
          <w:szCs w:val="18"/>
          <w:b w:val="1"/>
          <w:bCs w:val="1"/>
          <w:color w:val="auto"/>
        </w:rPr>
        <w:t xml:space="preserve"> who held </w:t>
      </w:r>
      <w:r>
        <w:rPr>
          <w:rFonts w:ascii="Arial" w:cs="Arial" w:eastAsia="Arial" w:hAnsi="Arial"/>
          <w:sz w:val="18"/>
          <w:szCs w:val="18"/>
          <w:b w:val="1"/>
          <w:bCs w:val="1"/>
          <w:color w:val="60E205"/>
        </w:rPr>
        <w:t>69%</w:t>
      </w:r>
      <w:r>
        <w:rPr>
          <w:rFonts w:ascii="Arial" w:cs="Arial" w:eastAsia="Arial" w:hAnsi="Arial"/>
          <w:sz w:val="18"/>
          <w:szCs w:val="18"/>
          <w:b w:val="1"/>
          <w:bCs w:val="1"/>
          <w:color w:val="auto"/>
        </w:rPr>
        <w:t xml:space="preserve"> of our outstanding stock as of December 31, 2022</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 Qualys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163195</wp:posOffset>
            </wp:positionV>
            <wp:extent cx="4526280" cy="2074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2628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Role of the Compensation and Talent Committee</w:t>
      </w:r>
    </w:p>
    <w:p>
      <w:pPr>
        <w:spacing w:after="0" w:line="102"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Our Compensation and Talent Committee operates under a written charter adopted by the committee and approved by our board of directors. The charter is available on our website. Each member of our Compensation and Talent Committee qualifies as (i) an “independent director” under the Nasdaq Stock Market requirements, and (ii) a “non-employee director” under Rule 16b-3 of the Exchange Act.</w:t>
      </w:r>
    </w:p>
    <w:p>
      <w:pPr>
        <w:spacing w:after="0" w:line="174" w:lineRule="exact"/>
        <w:rPr>
          <w:sz w:val="20"/>
          <w:szCs w:val="20"/>
          <w:color w:val="auto"/>
        </w:rPr>
      </w:pPr>
    </w:p>
    <w:p>
      <w:pPr>
        <w:ind w:right="120" w:firstLine="440"/>
        <w:spacing w:after="0" w:line="253" w:lineRule="auto"/>
        <w:rPr>
          <w:sz w:val="20"/>
          <w:szCs w:val="20"/>
          <w:color w:val="auto"/>
        </w:rPr>
      </w:pPr>
      <w:r>
        <w:rPr>
          <w:rFonts w:ascii="Arial" w:cs="Arial" w:eastAsia="Arial" w:hAnsi="Arial"/>
          <w:sz w:val="18"/>
          <w:szCs w:val="18"/>
          <w:color w:val="auto"/>
        </w:rPr>
        <w:t>Our Compensation and Talent Committee oversees our overall compensation philosophy, compensation plans, and benefits programs. Our Compensation and Talent Committee is responsible for reviewing, approving, and administering our annual and long-term incentive compensation plans and our employee benefit plans and for administering our equity incentive plans.</w:t>
      </w:r>
    </w:p>
    <w:p>
      <w:pPr>
        <w:spacing w:after="0" w:line="169" w:lineRule="exact"/>
        <w:rPr>
          <w:sz w:val="20"/>
          <w:szCs w:val="20"/>
          <w:color w:val="auto"/>
        </w:rPr>
      </w:pPr>
    </w:p>
    <w:p>
      <w:pPr>
        <w:ind w:right="120" w:firstLine="440"/>
        <w:spacing w:after="0" w:line="242" w:lineRule="auto"/>
        <w:rPr>
          <w:sz w:val="20"/>
          <w:szCs w:val="20"/>
          <w:color w:val="auto"/>
        </w:rPr>
      </w:pPr>
      <w:r>
        <w:rPr>
          <w:rFonts w:ascii="Arial" w:cs="Arial" w:eastAsia="Arial" w:hAnsi="Arial"/>
          <w:sz w:val="18"/>
          <w:szCs w:val="18"/>
          <w:color w:val="auto"/>
        </w:rPr>
        <w:t>To this end, our Compensation and Talent Committee establishes the performance objectives and certifies the performance achievement under our annual and long-term incentive compensation plans and approves the grant of equity awards under our equity incentive plans. Our Compensation and Talent Committee also reviews on a periodic basis the operations of our executive compensation program to determine whether they are properly coordinated and achieving their intended purposes. If our Compensation and Talent Committee determines that any aspect of our executive compensation program yields payments and benefits that are not reasonably related to executive and corporate performance, the committee may take steps to modify the program.</w:t>
      </w:r>
    </w:p>
    <w:p>
      <w:pPr>
        <w:spacing w:after="0" w:line="179" w:lineRule="exact"/>
        <w:rPr>
          <w:sz w:val="20"/>
          <w:szCs w:val="20"/>
          <w:color w:val="auto"/>
        </w:rPr>
      </w:pPr>
    </w:p>
    <w:p>
      <w:pPr>
        <w:ind w:right="120" w:firstLine="440"/>
        <w:spacing w:after="0" w:line="244" w:lineRule="auto"/>
        <w:rPr>
          <w:sz w:val="20"/>
          <w:szCs w:val="20"/>
          <w:color w:val="auto"/>
        </w:rPr>
      </w:pPr>
      <w:r>
        <w:rPr>
          <w:rFonts w:ascii="Arial" w:cs="Arial" w:eastAsia="Arial" w:hAnsi="Arial"/>
          <w:sz w:val="18"/>
          <w:szCs w:val="18"/>
          <w:color w:val="auto"/>
        </w:rPr>
        <w:t>Our Compensation and Talent Committee has authority to engage independent outside consultants and obtain input from our management team, other employees, and external advisers. In 2022, our Compensation and Talent Committee engaged the following third-party compensation consultants to assist us with respect to the compensation of our executive team, including our named executive officers: (i) from the beginning of the year until February, Mercer (US) Inc. (“Mercer”), and (ii) from February until the end of the year, Compensia, Inc. (“Compensia”).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96" w:right="479" w:bottom="1440" w:gutter="0" w:footer="0" w:header="0"/>
        </w:sectPr>
      </w:pPr>
    </w:p>
    <w:bookmarkStart w:id="37" w:name="page38"/>
    <w:bookmarkEnd w:id="37"/>
    <w:p>
      <w:pPr>
        <w:ind w:left="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Role of Compensation Consultants</w:t>
      </w:r>
    </w:p>
    <w:p>
      <w:pPr>
        <w:spacing w:after="0" w:line="102" w:lineRule="exact"/>
        <w:rPr>
          <w:sz w:val="20"/>
          <w:szCs w:val="20"/>
          <w:color w:val="auto"/>
        </w:rPr>
      </w:pPr>
    </w:p>
    <w:p>
      <w:pPr>
        <w:ind w:right="20" w:firstLine="440"/>
        <w:spacing w:after="0" w:line="238" w:lineRule="auto"/>
        <w:rPr>
          <w:sz w:val="20"/>
          <w:szCs w:val="20"/>
          <w:color w:val="auto"/>
        </w:rPr>
      </w:pPr>
      <w:r>
        <w:rPr>
          <w:rFonts w:ascii="Arial" w:cs="Arial" w:eastAsia="Arial" w:hAnsi="Arial"/>
          <w:sz w:val="18"/>
          <w:szCs w:val="18"/>
          <w:color w:val="auto"/>
        </w:rPr>
        <w:t>In 2022, Mercer provided a report on regulatory developments, proxy advisory policy changes, and trends in short-term and long-term incentive compensation program design. In 2022, Compensia provided data on the compensation provided to executives in our compensation peer group and the market in general. The compensation peer group was selected on the basis of relevant industry, size, location and comparability of the business. This data was considered by our Compensation and Talent Committee in setting executive compensation in 2022. This process involved Compensia analyzing, reviewing and making recommendations to our Compensation and Talent Committee regarding (i) the compensation peer group and (ii) various elements of our executive compensation program based on a comparison of the base salary, target total cash compensation (i.e., base salary plus non-equity incentive plan compensation), annual long-term incentive values, and target total direct compensation (i.e., target total cash compensation plus equity awards) we provide to our named executive officers against that provided by our compensation peer group to similarly situated executives. Compensia also provided data on market practices relating to stock ownership guidelines for executives and non-employee directors and data on our compensation peer group’s non-employee director compensation, short-term and long-term incentive compensation program design, and equity utilization, as well as reports on executive compensation trends and regulatory developments.</w:t>
      </w:r>
    </w:p>
    <w:p>
      <w:pPr>
        <w:spacing w:after="0" w:line="183" w:lineRule="exact"/>
        <w:rPr>
          <w:sz w:val="20"/>
          <w:szCs w:val="20"/>
          <w:color w:val="auto"/>
        </w:rPr>
      </w:pPr>
    </w:p>
    <w:p>
      <w:pPr>
        <w:ind w:right="200" w:firstLine="440"/>
        <w:spacing w:after="0" w:line="247" w:lineRule="auto"/>
        <w:rPr>
          <w:sz w:val="20"/>
          <w:szCs w:val="20"/>
          <w:color w:val="auto"/>
        </w:rPr>
      </w:pPr>
      <w:r>
        <w:rPr>
          <w:rFonts w:ascii="Arial" w:cs="Arial" w:eastAsia="Arial" w:hAnsi="Arial"/>
          <w:sz w:val="18"/>
          <w:szCs w:val="18"/>
          <w:color w:val="auto"/>
        </w:rPr>
        <w:t>In 2022, Mercer and Compensia did not provide any services to us or receive any payments from us, except in their capacity as consultants to our Compensation and Talent Committee. Based on the consideration of the various factors as set forth in the rules of the SEC and the Nasdaq Stock Market, our Compensation and Talent Committee believes that its relationship with Mercer and Compensia and their work on behalf of the committee has not raised any conflicts of interest.</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02"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During 2022, Ms. Kim, Mr. Posey, and Rima Touma Bruno, our Chief Human Resources Officer, typically attended our Compensation and Talent Committee’s meetings. Our Compensation and Talent Committee may invite to its meetings any other person that it deems appropriate. No named executive officer attends the portions of a meeting during which decisions regarding his or her compensation are made.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Companies</w:t>
      </w:r>
    </w:p>
    <w:p>
      <w:pPr>
        <w:spacing w:after="0" w:line="104" w:lineRule="exact"/>
        <w:rPr>
          <w:sz w:val="20"/>
          <w:szCs w:val="20"/>
          <w:color w:val="auto"/>
        </w:rPr>
      </w:pPr>
    </w:p>
    <w:p>
      <w:pPr>
        <w:ind w:right="200" w:firstLine="440"/>
        <w:spacing w:after="0" w:line="253" w:lineRule="auto"/>
        <w:rPr>
          <w:sz w:val="20"/>
          <w:szCs w:val="20"/>
          <w:color w:val="auto"/>
        </w:rPr>
      </w:pPr>
      <w:r>
        <w:rPr>
          <w:rFonts w:ascii="Arial" w:cs="Arial" w:eastAsia="Arial" w:hAnsi="Arial"/>
          <w:sz w:val="18"/>
          <w:szCs w:val="18"/>
          <w:color w:val="auto"/>
        </w:rPr>
        <w:t>On an annual basis, our Compensation and Talent Committee approves a list of peer companies for the committee to use in conducting a competitive market analysis of executive officer compensation. To represent the market in which we compete for talent, we consider four primary company selection characteristics in determining the peer group each year:</w:t>
      </w:r>
    </w:p>
    <w:p>
      <w:pPr>
        <w:spacing w:after="0" w:line="74" w:lineRule="exact"/>
        <w:rPr>
          <w:sz w:val="20"/>
          <w:szCs w:val="20"/>
          <w:color w:val="auto"/>
        </w:rPr>
      </w:pPr>
    </w:p>
    <w:p>
      <w:pPr>
        <w:ind w:left="960" w:hanging="53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Size</w:t>
      </w:r>
      <w:r>
        <w:rPr>
          <w:rFonts w:ascii="Arial" w:cs="Arial" w:eastAsia="Arial" w:hAnsi="Arial"/>
          <w:sz w:val="18"/>
          <w:szCs w:val="18"/>
          <w:color w:val="auto"/>
        </w:rPr>
        <w:t>: Similarly-sized publicly-traded companies in terms of annual revenues and market capitalization.</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Industry</w:t>
      </w:r>
      <w:r>
        <w:rPr>
          <w:rFonts w:ascii="Arial" w:cs="Arial" w:eastAsia="Arial" w:hAnsi="Arial"/>
          <w:sz w:val="18"/>
          <w:szCs w:val="18"/>
          <w:color w:val="auto"/>
        </w:rPr>
        <w:t>: Application Software or Systems Software GICS sub-industry.</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Growth</w:t>
      </w:r>
      <w:r>
        <w:rPr>
          <w:rFonts w:ascii="Arial" w:cs="Arial" w:eastAsia="Arial" w:hAnsi="Arial"/>
          <w:sz w:val="18"/>
          <w:szCs w:val="18"/>
          <w:color w:val="auto"/>
        </w:rPr>
        <w:t>: Companies with strong revenue growth and high market capitalization to revenue ratios.</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Primarily companies in Northern California.</w:t>
      </w:r>
    </w:p>
    <w:p>
      <w:pPr>
        <w:spacing w:after="0" w:line="212" w:lineRule="exact"/>
        <w:rPr>
          <w:sz w:val="20"/>
          <w:szCs w:val="20"/>
          <w:color w:val="auto"/>
        </w:rPr>
      </w:pPr>
    </w:p>
    <w:p>
      <w:pPr>
        <w:jc w:val="both"/>
        <w:ind w:right="240" w:firstLine="440"/>
        <w:spacing w:after="0" w:line="253" w:lineRule="auto"/>
        <w:rPr>
          <w:sz w:val="20"/>
          <w:szCs w:val="20"/>
          <w:color w:val="auto"/>
        </w:rPr>
      </w:pPr>
      <w:r>
        <w:rPr>
          <w:rFonts w:ascii="Arial" w:cs="Arial" w:eastAsia="Arial" w:hAnsi="Arial"/>
          <w:sz w:val="18"/>
          <w:szCs w:val="18"/>
          <w:color w:val="auto"/>
        </w:rPr>
        <w:t>In April 2022, with the assistance of Compensia, our Compensation and Talent Committee reviewed our compensation peer group based on our peer group selection criteria. This resulted in adding nine new companies to the peer group and removing four companies from the peer group (two</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98" w:right="459" w:bottom="1440" w:gutter="0" w:footer="0" w:header="0"/>
        </w:sectPr>
      </w:pPr>
    </w:p>
    <w:bookmarkStart w:id="38" w:name="page39"/>
    <w:bookmarkEnd w:id="38"/>
    <w:p>
      <w:pPr>
        <w:ind w:right="2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 which were no longer public). The following is a list of the public companies that our Compensation and Talent Committee used to set cash and equity compensation beginning in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shd w:val="clear" w:color="auto" w:fill="8DC3FF"/>
          </w:tcPr>
          <w:p>
            <w:pPr>
              <w:spacing w:after="0"/>
              <w:rPr>
                <w:sz w:val="18"/>
                <w:szCs w:val="18"/>
                <w:color w:val="auto"/>
              </w:rPr>
            </w:pPr>
          </w:p>
        </w:tc>
        <w:tc>
          <w:tcPr>
            <w:tcW w:w="3880" w:type="dxa"/>
            <w:vAlign w:val="bottom"/>
            <w:shd w:val="clear" w:color="auto" w:fill="8DC3FF"/>
          </w:tcPr>
          <w:p>
            <w:pPr>
              <w:ind w:left="1380"/>
              <w:spacing w:after="0"/>
              <w:rPr>
                <w:sz w:val="20"/>
                <w:szCs w:val="20"/>
                <w:color w:val="auto"/>
              </w:rPr>
            </w:pPr>
            <w:r>
              <w:rPr>
                <w:rFonts w:ascii="Arial" w:cs="Arial" w:eastAsia="Arial" w:hAnsi="Arial"/>
                <w:sz w:val="14"/>
                <w:szCs w:val="14"/>
                <w:b w:val="1"/>
                <w:bCs w:val="1"/>
                <w:color w:val="FFFFFF"/>
              </w:rPr>
              <w:t>Compensation Peer Group</w:t>
            </w:r>
          </w:p>
        </w:tc>
        <w:tc>
          <w:tcPr>
            <w:tcW w:w="3920" w:type="dxa"/>
            <w:vAlign w:val="bottom"/>
            <w:shd w:val="clear" w:color="auto" w:fill="8DC3FF"/>
          </w:tcPr>
          <w:p>
            <w:pPr>
              <w:spacing w:after="0"/>
              <w:rPr>
                <w:sz w:val="18"/>
                <w:szCs w:val="18"/>
                <w:color w:val="auto"/>
              </w:rPr>
            </w:pPr>
          </w:p>
        </w:tc>
      </w:tr>
      <w:tr>
        <w:trPr>
          <w:trHeight w:val="184"/>
        </w:trPr>
        <w:tc>
          <w:tcPr>
            <w:tcW w:w="3220" w:type="dxa"/>
            <w:vAlign w:val="bottom"/>
          </w:tcPr>
          <w:p>
            <w:pPr>
              <w:spacing w:after="0" w:line="183" w:lineRule="exact"/>
              <w:rPr>
                <w:sz w:val="20"/>
                <w:szCs w:val="20"/>
                <w:color w:val="auto"/>
              </w:rPr>
            </w:pPr>
            <w:r>
              <w:rPr>
                <w:rFonts w:ascii="Arial" w:cs="Arial" w:eastAsia="Arial" w:hAnsi="Arial"/>
                <w:sz w:val="18"/>
                <w:szCs w:val="18"/>
                <w:color w:val="auto"/>
              </w:rPr>
              <w:t>AppFolio, Inc.</w:t>
            </w:r>
          </w:p>
        </w:tc>
        <w:tc>
          <w:tcPr>
            <w:tcW w:w="3880" w:type="dxa"/>
            <w:vAlign w:val="bottom"/>
          </w:tcPr>
          <w:p>
            <w:pPr>
              <w:ind w:left="880"/>
              <w:spacing w:after="0" w:line="183" w:lineRule="exact"/>
              <w:rPr>
                <w:sz w:val="20"/>
                <w:szCs w:val="20"/>
                <w:color w:val="auto"/>
              </w:rPr>
            </w:pPr>
            <w:r>
              <w:rPr>
                <w:rFonts w:ascii="Arial" w:cs="Arial" w:eastAsia="Arial" w:hAnsi="Arial"/>
                <w:sz w:val="18"/>
                <w:szCs w:val="18"/>
                <w:color w:val="auto"/>
              </w:rPr>
              <w:t>HashiCorp, Inc.</w:t>
            </w:r>
          </w:p>
        </w:tc>
        <w:tc>
          <w:tcPr>
            <w:tcW w:w="3920" w:type="dxa"/>
            <w:vAlign w:val="bottom"/>
          </w:tcPr>
          <w:p>
            <w:pPr>
              <w:ind w:left="680"/>
              <w:spacing w:after="0" w:line="183" w:lineRule="exact"/>
              <w:rPr>
                <w:sz w:val="20"/>
                <w:szCs w:val="20"/>
                <w:color w:val="auto"/>
              </w:rPr>
            </w:pPr>
            <w:r>
              <w:rPr>
                <w:rFonts w:ascii="Arial" w:cs="Arial" w:eastAsia="Arial" w:hAnsi="Arial"/>
                <w:sz w:val="18"/>
                <w:szCs w:val="18"/>
                <w:color w:val="auto"/>
              </w:rPr>
              <w:t>SentinelOne, Inc.</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Coupa Software Incorporated</w:t>
            </w:r>
          </w:p>
        </w:tc>
        <w:tc>
          <w:tcPr>
            <w:tcW w:w="3880" w:type="dxa"/>
            <w:vAlign w:val="bottom"/>
          </w:tcPr>
          <w:p>
            <w:pPr>
              <w:ind w:left="880"/>
              <w:spacing w:after="0" w:line="202" w:lineRule="exact"/>
              <w:rPr>
                <w:sz w:val="20"/>
                <w:szCs w:val="20"/>
                <w:color w:val="auto"/>
              </w:rPr>
            </w:pPr>
            <w:r>
              <w:rPr>
                <w:rFonts w:ascii="Arial" w:cs="Arial" w:eastAsia="Arial" w:hAnsi="Arial"/>
                <w:sz w:val="18"/>
                <w:szCs w:val="18"/>
                <w:color w:val="auto"/>
              </w:rPr>
              <w:t>HubSpot, Inc.</w:t>
            </w:r>
          </w:p>
        </w:tc>
        <w:tc>
          <w:tcPr>
            <w:tcW w:w="3920" w:type="dxa"/>
            <w:vAlign w:val="bottom"/>
          </w:tcPr>
          <w:p>
            <w:pPr>
              <w:ind w:left="680"/>
              <w:spacing w:after="0" w:line="202" w:lineRule="exact"/>
              <w:rPr>
                <w:sz w:val="20"/>
                <w:szCs w:val="20"/>
                <w:color w:val="auto"/>
              </w:rPr>
            </w:pPr>
            <w:r>
              <w:rPr>
                <w:rFonts w:ascii="Arial" w:cs="Arial" w:eastAsia="Arial" w:hAnsi="Arial"/>
                <w:sz w:val="18"/>
                <w:szCs w:val="18"/>
                <w:color w:val="auto"/>
              </w:rPr>
              <w:t>Splunk Inc.</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CrowdStrike Holdings, Inc.</w:t>
            </w:r>
          </w:p>
        </w:tc>
        <w:tc>
          <w:tcPr>
            <w:tcW w:w="3880" w:type="dxa"/>
            <w:vAlign w:val="bottom"/>
          </w:tcPr>
          <w:p>
            <w:pPr>
              <w:ind w:left="880"/>
              <w:spacing w:after="0" w:line="202" w:lineRule="exact"/>
              <w:rPr>
                <w:sz w:val="20"/>
                <w:szCs w:val="20"/>
                <w:color w:val="auto"/>
              </w:rPr>
            </w:pPr>
            <w:r>
              <w:rPr>
                <w:rFonts w:ascii="Arial" w:cs="Arial" w:eastAsia="Arial" w:hAnsi="Arial"/>
                <w:sz w:val="18"/>
                <w:szCs w:val="18"/>
                <w:color w:val="auto"/>
              </w:rPr>
              <w:t>New Relic</w:t>
            </w:r>
          </w:p>
        </w:tc>
        <w:tc>
          <w:tcPr>
            <w:tcW w:w="3920" w:type="dxa"/>
            <w:vAlign w:val="bottom"/>
          </w:tcPr>
          <w:p>
            <w:pPr>
              <w:ind w:left="680"/>
              <w:spacing w:after="0" w:line="202" w:lineRule="exact"/>
              <w:rPr>
                <w:sz w:val="20"/>
                <w:szCs w:val="20"/>
                <w:color w:val="auto"/>
              </w:rPr>
            </w:pPr>
            <w:r>
              <w:rPr>
                <w:rFonts w:ascii="Arial" w:cs="Arial" w:eastAsia="Arial" w:hAnsi="Arial"/>
                <w:sz w:val="18"/>
                <w:szCs w:val="18"/>
                <w:color w:val="auto"/>
              </w:rPr>
              <w:t>Sumo Logic, Inc.</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Elastic N.V.</w:t>
            </w:r>
          </w:p>
        </w:tc>
        <w:tc>
          <w:tcPr>
            <w:tcW w:w="3880" w:type="dxa"/>
            <w:vAlign w:val="bottom"/>
          </w:tcPr>
          <w:p>
            <w:pPr>
              <w:ind w:left="880"/>
              <w:spacing w:after="0" w:line="202" w:lineRule="exact"/>
              <w:rPr>
                <w:sz w:val="20"/>
                <w:szCs w:val="20"/>
                <w:color w:val="auto"/>
              </w:rPr>
            </w:pPr>
            <w:r>
              <w:rPr>
                <w:rFonts w:ascii="Arial" w:cs="Arial" w:eastAsia="Arial" w:hAnsi="Arial"/>
                <w:sz w:val="18"/>
                <w:szCs w:val="18"/>
                <w:color w:val="auto"/>
              </w:rPr>
              <w:t>PagerDuty, Inc.</w:t>
            </w:r>
          </w:p>
        </w:tc>
        <w:tc>
          <w:tcPr>
            <w:tcW w:w="3920" w:type="dxa"/>
            <w:vAlign w:val="bottom"/>
          </w:tcPr>
          <w:p>
            <w:pPr>
              <w:ind w:left="680"/>
              <w:spacing w:after="0" w:line="202" w:lineRule="exact"/>
              <w:rPr>
                <w:sz w:val="20"/>
                <w:szCs w:val="20"/>
                <w:color w:val="auto"/>
              </w:rPr>
            </w:pPr>
            <w:r>
              <w:rPr>
                <w:rFonts w:ascii="Arial" w:cs="Arial" w:eastAsia="Arial" w:hAnsi="Arial"/>
                <w:sz w:val="18"/>
                <w:szCs w:val="18"/>
                <w:color w:val="auto"/>
              </w:rPr>
              <w:t>Tenable Holdings, Inc.</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Five9, Inc.</w:t>
            </w:r>
          </w:p>
        </w:tc>
        <w:tc>
          <w:tcPr>
            <w:tcW w:w="3880" w:type="dxa"/>
            <w:vAlign w:val="bottom"/>
          </w:tcPr>
          <w:p>
            <w:pPr>
              <w:ind w:left="880"/>
              <w:spacing w:after="0" w:line="202" w:lineRule="exact"/>
              <w:rPr>
                <w:sz w:val="20"/>
                <w:szCs w:val="20"/>
                <w:color w:val="auto"/>
              </w:rPr>
            </w:pPr>
            <w:r>
              <w:rPr>
                <w:rFonts w:ascii="Arial" w:cs="Arial" w:eastAsia="Arial" w:hAnsi="Arial"/>
                <w:sz w:val="18"/>
                <w:szCs w:val="18"/>
                <w:color w:val="auto"/>
              </w:rPr>
              <w:t>Palo Alto Networks, Inc.</w:t>
            </w:r>
          </w:p>
        </w:tc>
        <w:tc>
          <w:tcPr>
            <w:tcW w:w="3920" w:type="dxa"/>
            <w:vAlign w:val="bottom"/>
          </w:tcPr>
          <w:p>
            <w:pPr>
              <w:ind w:left="680"/>
              <w:spacing w:after="0" w:line="202" w:lineRule="exact"/>
              <w:rPr>
                <w:sz w:val="20"/>
                <w:szCs w:val="20"/>
                <w:color w:val="auto"/>
              </w:rPr>
            </w:pPr>
            <w:r>
              <w:rPr>
                <w:rFonts w:ascii="Arial" w:cs="Arial" w:eastAsia="Arial" w:hAnsi="Arial"/>
                <w:sz w:val="18"/>
                <w:szCs w:val="18"/>
                <w:color w:val="auto"/>
              </w:rPr>
              <w:t>Varonis Systems, Inc.</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ForgeRock, Inc.</w:t>
            </w:r>
          </w:p>
        </w:tc>
        <w:tc>
          <w:tcPr>
            <w:tcW w:w="3880" w:type="dxa"/>
            <w:vAlign w:val="bottom"/>
          </w:tcPr>
          <w:p>
            <w:pPr>
              <w:ind w:left="880"/>
              <w:spacing w:after="0" w:line="202" w:lineRule="exact"/>
              <w:rPr>
                <w:sz w:val="20"/>
                <w:szCs w:val="20"/>
                <w:color w:val="auto"/>
              </w:rPr>
            </w:pPr>
            <w:r>
              <w:rPr>
                <w:rFonts w:ascii="Arial" w:cs="Arial" w:eastAsia="Arial" w:hAnsi="Arial"/>
                <w:sz w:val="18"/>
                <w:szCs w:val="18"/>
                <w:color w:val="auto"/>
              </w:rPr>
              <w:t>Rapid7, Inc.</w:t>
            </w:r>
          </w:p>
        </w:tc>
        <w:tc>
          <w:tcPr>
            <w:tcW w:w="3920" w:type="dxa"/>
            <w:vAlign w:val="bottom"/>
          </w:tcPr>
          <w:p>
            <w:pPr>
              <w:ind w:left="680"/>
              <w:spacing w:after="0" w:line="202" w:lineRule="exact"/>
              <w:rPr>
                <w:sz w:val="20"/>
                <w:szCs w:val="20"/>
                <w:color w:val="auto"/>
              </w:rPr>
            </w:pPr>
            <w:r>
              <w:rPr>
                <w:rFonts w:ascii="Arial" w:cs="Arial" w:eastAsia="Arial" w:hAnsi="Arial"/>
                <w:sz w:val="18"/>
                <w:szCs w:val="18"/>
                <w:color w:val="auto"/>
              </w:rPr>
              <w:t>Zendesk, Inc.</w:t>
            </w:r>
          </w:p>
        </w:tc>
      </w:tr>
      <w:tr>
        <w:trPr>
          <w:trHeight w:val="239"/>
        </w:trPr>
        <w:tc>
          <w:tcPr>
            <w:tcW w:w="3220" w:type="dxa"/>
            <w:vAlign w:val="bottom"/>
          </w:tcPr>
          <w:p>
            <w:pPr>
              <w:spacing w:after="0"/>
              <w:rPr>
                <w:sz w:val="20"/>
                <w:szCs w:val="20"/>
                <w:color w:val="auto"/>
              </w:rPr>
            </w:pPr>
            <w:r>
              <w:rPr>
                <w:rFonts w:ascii="Arial" w:cs="Arial" w:eastAsia="Arial" w:hAnsi="Arial"/>
                <w:sz w:val="18"/>
                <w:szCs w:val="18"/>
                <w:color w:val="auto"/>
              </w:rPr>
              <w:t>Guidewire Software, Inc.</w:t>
            </w:r>
          </w:p>
        </w:tc>
        <w:tc>
          <w:tcPr>
            <w:tcW w:w="3880" w:type="dxa"/>
            <w:vAlign w:val="bottom"/>
          </w:tcPr>
          <w:p>
            <w:pPr>
              <w:ind w:left="880"/>
              <w:spacing w:after="0"/>
              <w:rPr>
                <w:sz w:val="20"/>
                <w:szCs w:val="20"/>
                <w:color w:val="auto"/>
              </w:rPr>
            </w:pPr>
            <w:r>
              <w:rPr>
                <w:rFonts w:ascii="Arial" w:cs="Arial" w:eastAsia="Arial" w:hAnsi="Arial"/>
                <w:sz w:val="18"/>
                <w:szCs w:val="18"/>
                <w:color w:val="auto"/>
              </w:rPr>
              <w:t>SecureWorks Corp.</w:t>
            </w:r>
          </w:p>
        </w:tc>
        <w:tc>
          <w:tcPr>
            <w:tcW w:w="3920" w:type="dxa"/>
            <w:vAlign w:val="bottom"/>
          </w:tcPr>
          <w:p>
            <w:pPr>
              <w:spacing w:after="0"/>
              <w:rPr>
                <w:sz w:val="20"/>
                <w:szCs w:val="20"/>
                <w:color w:val="auto"/>
              </w:rPr>
            </w:pPr>
          </w:p>
        </w:tc>
      </w:tr>
    </w:tbl>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Peer Data</w:t>
      </w:r>
    </w:p>
    <w:p>
      <w:pPr>
        <w:spacing w:after="0" w:line="102" w:lineRule="exact"/>
        <w:rPr>
          <w:sz w:val="20"/>
          <w:szCs w:val="20"/>
          <w:color w:val="auto"/>
        </w:rPr>
      </w:pPr>
    </w:p>
    <w:p>
      <w:pPr>
        <w:ind w:right="40" w:firstLine="440"/>
        <w:spacing w:after="0"/>
        <w:rPr>
          <w:sz w:val="20"/>
          <w:szCs w:val="20"/>
          <w:color w:val="auto"/>
        </w:rPr>
      </w:pPr>
      <w:r>
        <w:rPr>
          <w:rFonts w:ascii="Arial" w:cs="Arial" w:eastAsia="Arial" w:hAnsi="Arial"/>
          <w:sz w:val="18"/>
          <w:szCs w:val="18"/>
          <w:color w:val="auto"/>
        </w:rPr>
        <w:t>Our Compensation and Talent Committee uses the compensation peer group and market data provided by Compensia (including custom cuts of survey data from Radford) to obtain a general understanding of compensation practices within our compensation peer group and the market in general. In setting the various elements of compensation for the named executive officers, our Compensation and Talent Committee reviewed base salary, target total cash compensation (i.e., base salary plus non-equity incentive plan compensation), annual long-term incentive values, and target total direct compensation (i.e., target total cash compensation plus equity incentives). We believe that considering these measures was important because it allows us to provide compensation that, as a complete package, is appropriate for each named executive officer.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Mix</w:t>
      </w:r>
    </w:p>
    <w:p>
      <w:pPr>
        <w:spacing w:after="0" w:line="104" w:lineRule="exact"/>
        <w:rPr>
          <w:sz w:val="20"/>
          <w:szCs w:val="20"/>
          <w:color w:val="auto"/>
        </w:rPr>
      </w:pPr>
    </w:p>
    <w:p>
      <w:pPr>
        <w:ind w:right="100" w:firstLine="440"/>
        <w:spacing w:after="0" w:line="244" w:lineRule="auto"/>
        <w:rPr>
          <w:sz w:val="20"/>
          <w:szCs w:val="20"/>
          <w:color w:val="auto"/>
        </w:rPr>
      </w:pPr>
      <w:r>
        <w:rPr>
          <w:rFonts w:ascii="Arial" w:cs="Arial" w:eastAsia="Arial" w:hAnsi="Arial"/>
          <w:sz w:val="18"/>
          <w:szCs w:val="18"/>
          <w:color w:val="auto"/>
        </w:rPr>
        <w:t>As shown in the charts below, a significant portion of the target total direct compensation for the named executive officers is performance-based compensation (50% for the CEO, Mr. Thakar, and 31% for our other named executive officers). For the chart showing the target total direct compensation of the named executive officers other than Mr. Thakar, each figure was separately calculated for each named executive officer, and the percentages shown in the chart represent the average of the figures for the three named executive officers.</w:t>
      </w:r>
    </w:p>
    <w:p>
      <w:pPr>
        <w:spacing w:after="0" w:line="199"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4100" w:type="dxa"/>
            <w:vAlign w:val="bottom"/>
          </w:tcPr>
          <w:p>
            <w:pPr>
              <w:jc w:val="center"/>
              <w:ind w:right="1410"/>
              <w:spacing w:after="0"/>
              <w:rPr>
                <w:sz w:val="20"/>
                <w:szCs w:val="20"/>
                <w:color w:val="auto"/>
              </w:rPr>
            </w:pPr>
            <w:r>
              <w:rPr>
                <w:rFonts w:ascii="Arial" w:cs="Arial" w:eastAsia="Arial" w:hAnsi="Arial"/>
                <w:sz w:val="18"/>
                <w:szCs w:val="18"/>
                <w:b w:val="1"/>
                <w:bCs w:val="1"/>
                <w:color w:val="429BFF"/>
              </w:rPr>
              <w:t>CEO</w:t>
            </w:r>
          </w:p>
        </w:tc>
        <w:tc>
          <w:tcPr>
            <w:tcW w:w="4120" w:type="dxa"/>
            <w:vAlign w:val="bottom"/>
          </w:tcPr>
          <w:p>
            <w:pPr>
              <w:jc w:val="center"/>
              <w:ind w:left="1430"/>
              <w:spacing w:after="0"/>
              <w:rPr>
                <w:sz w:val="20"/>
                <w:szCs w:val="20"/>
                <w:color w:val="auto"/>
              </w:rPr>
            </w:pPr>
            <w:r>
              <w:rPr>
                <w:rFonts w:ascii="Arial" w:cs="Arial" w:eastAsia="Arial" w:hAnsi="Arial"/>
                <w:sz w:val="18"/>
                <w:szCs w:val="18"/>
                <w:b w:val="1"/>
                <w:bCs w:val="1"/>
                <w:color w:val="429BFF"/>
                <w:w w:val="99"/>
              </w:rPr>
              <w:t>OTHER NEOs</w:t>
            </w:r>
          </w:p>
        </w:tc>
      </w:tr>
      <w:tr>
        <w:trPr>
          <w:trHeight w:val="203"/>
        </w:trPr>
        <w:tc>
          <w:tcPr>
            <w:tcW w:w="4100" w:type="dxa"/>
            <w:vAlign w:val="bottom"/>
          </w:tcPr>
          <w:p>
            <w:pPr>
              <w:jc w:val="center"/>
              <w:ind w:right="1410"/>
              <w:spacing w:after="0" w:line="202" w:lineRule="exact"/>
              <w:rPr>
                <w:sz w:val="20"/>
                <w:szCs w:val="20"/>
                <w:color w:val="auto"/>
              </w:rPr>
            </w:pPr>
            <w:r>
              <w:rPr>
                <w:rFonts w:ascii="Arial" w:cs="Arial" w:eastAsia="Arial" w:hAnsi="Arial"/>
                <w:sz w:val="18"/>
                <w:szCs w:val="18"/>
                <w:b w:val="1"/>
                <w:bCs w:val="1"/>
                <w:color w:val="429BFF"/>
                <w:w w:val="97"/>
              </w:rPr>
              <w:t>2022 TARGET</w:t>
            </w:r>
          </w:p>
        </w:tc>
        <w:tc>
          <w:tcPr>
            <w:tcW w:w="4120" w:type="dxa"/>
            <w:vAlign w:val="bottom"/>
          </w:tcPr>
          <w:p>
            <w:pPr>
              <w:jc w:val="center"/>
              <w:ind w:left="1410"/>
              <w:spacing w:after="0" w:line="202" w:lineRule="exact"/>
              <w:rPr>
                <w:sz w:val="20"/>
                <w:szCs w:val="20"/>
                <w:color w:val="auto"/>
              </w:rPr>
            </w:pPr>
            <w:r>
              <w:rPr>
                <w:rFonts w:ascii="Arial" w:cs="Arial" w:eastAsia="Arial" w:hAnsi="Arial"/>
                <w:sz w:val="18"/>
                <w:szCs w:val="18"/>
                <w:b w:val="1"/>
                <w:bCs w:val="1"/>
                <w:color w:val="429BFF"/>
                <w:w w:val="98"/>
              </w:rPr>
              <w:t>AVERAGE 2022 TARGET</w:t>
            </w:r>
          </w:p>
        </w:tc>
      </w:tr>
      <w:tr>
        <w:trPr>
          <w:trHeight w:val="247"/>
        </w:trPr>
        <w:tc>
          <w:tcPr>
            <w:tcW w:w="4100" w:type="dxa"/>
            <w:vAlign w:val="bottom"/>
          </w:tcPr>
          <w:p>
            <w:pPr>
              <w:jc w:val="center"/>
              <w:ind w:right="1410"/>
              <w:spacing w:after="0"/>
              <w:rPr>
                <w:sz w:val="20"/>
                <w:szCs w:val="20"/>
                <w:color w:val="auto"/>
              </w:rPr>
            </w:pPr>
            <w:r>
              <w:rPr>
                <w:rFonts w:ascii="Arial" w:cs="Arial" w:eastAsia="Arial" w:hAnsi="Arial"/>
                <w:sz w:val="18"/>
                <w:szCs w:val="18"/>
                <w:b w:val="1"/>
                <w:bCs w:val="1"/>
                <w:color w:val="429BFF"/>
                <w:w w:val="98"/>
              </w:rPr>
              <w:t>COMPENSATION STRUCTURE</w:t>
            </w:r>
          </w:p>
        </w:tc>
        <w:tc>
          <w:tcPr>
            <w:tcW w:w="4120" w:type="dxa"/>
            <w:vAlign w:val="bottom"/>
          </w:tcPr>
          <w:p>
            <w:pPr>
              <w:jc w:val="center"/>
              <w:ind w:left="1410"/>
              <w:spacing w:after="0"/>
              <w:rPr>
                <w:sz w:val="20"/>
                <w:szCs w:val="20"/>
                <w:color w:val="auto"/>
              </w:rPr>
            </w:pPr>
            <w:r>
              <w:rPr>
                <w:rFonts w:ascii="Arial" w:cs="Arial" w:eastAsia="Arial" w:hAnsi="Arial"/>
                <w:sz w:val="18"/>
                <w:szCs w:val="18"/>
                <w:b w:val="1"/>
                <w:bCs w:val="1"/>
                <w:color w:val="429BFF"/>
                <w:w w:val="99"/>
              </w:rPr>
              <w:t>COMPENSATION STRUCTURE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154940</wp:posOffset>
            </wp:positionV>
            <wp:extent cx="5846445" cy="19888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644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96"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 Program Components</w:t>
      </w:r>
    </w:p>
    <w:p>
      <w:pPr>
        <w:spacing w:after="0" w:line="104"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The following sections describe each component of our executive compensation program, provide the rationale for each component, and explain how the compensation amounts and awards were determined for 2022.</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Base Salary</w:t>
      </w:r>
    </w:p>
    <w:p>
      <w:pPr>
        <w:spacing w:after="0" w:line="102"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Base salary is the primary fixed component of our named executive officers’ compensation. We use base salary to compensate our named executive officers for services rendered during the fiscal year and to ensure that we remain competitive in attracting and retaining executive talent. A named executive officer’s base salary at hire is determined through arm’s-length negotiation. Our Compensation and Talent Committee typically reviews and considers adjustments to our named executive officers’ base salaries on an annual basis. When doing so, our Compensation and Talent Committee considers factors such as the named executive officer’s experience, skills, knowledge, responsibilities, and performance and the prevailing market conditions.</w:t>
      </w:r>
    </w:p>
    <w:p>
      <w:pPr>
        <w:spacing w:after="0" w:line="179" w:lineRule="exact"/>
        <w:rPr>
          <w:sz w:val="20"/>
          <w:szCs w:val="20"/>
          <w:color w:val="auto"/>
        </w:rPr>
      </w:pPr>
    </w:p>
    <w:p>
      <w:pPr>
        <w:ind w:right="20" w:firstLine="440"/>
        <w:spacing w:after="0" w:line="247" w:lineRule="auto"/>
        <w:rPr>
          <w:sz w:val="20"/>
          <w:szCs w:val="20"/>
          <w:color w:val="auto"/>
        </w:rPr>
      </w:pPr>
      <w:r>
        <w:rPr>
          <w:rFonts w:ascii="Arial" w:cs="Arial" w:eastAsia="Arial" w:hAnsi="Arial"/>
          <w:sz w:val="18"/>
          <w:szCs w:val="18"/>
          <w:color w:val="auto"/>
        </w:rPr>
        <w:t>Our Compensation and Talent Committee reviewed our executive compensation program, including base salary for our named executive officers. The committee evaluated the peer group compensation data provided by Compensia and determined, based on its judgment, that no adjustments to the base salaries of our named executive officers should be made. Each named executive officer’s base salary during 2022 is listed in the table below.</w:t>
      </w:r>
    </w:p>
    <w:p>
      <w:pPr>
        <w:spacing w:after="0" w:line="211" w:lineRule="exact"/>
        <w:rPr>
          <w:sz w:val="20"/>
          <w:szCs w:val="20"/>
          <w:color w:val="auto"/>
        </w:rPr>
      </w:pPr>
    </w:p>
    <w:tbl>
      <w:tblPr>
        <w:tblLayout w:type="fixed"/>
        <w:tblInd w:w="2200" w:type="dxa"/>
        <w:tblCellMar>
          <w:top w:w="0" w:type="dxa"/>
          <w:left w:w="0" w:type="dxa"/>
          <w:bottom w:w="0" w:type="dxa"/>
          <w:right w:w="0" w:type="dxa"/>
        </w:tblCellMar>
      </w:tblPr>
      <w:tr>
        <w:trPr>
          <w:trHeight w:val="162"/>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120" w:type="dxa"/>
            <w:vAlign w:val="bottom"/>
          </w:tcPr>
          <w:p>
            <w:pPr>
              <w:spacing w:after="0"/>
              <w:rPr>
                <w:sz w:val="14"/>
                <w:szCs w:val="14"/>
                <w:color w:val="auto"/>
              </w:rPr>
            </w:pPr>
          </w:p>
        </w:tc>
        <w:tc>
          <w:tcPr>
            <w:tcW w:w="1020" w:type="dxa"/>
            <w:vAlign w:val="bottom"/>
          </w:tcPr>
          <w:p>
            <w:pPr>
              <w:jc w:val="right"/>
              <w:ind w:right="19"/>
              <w:spacing w:after="0"/>
              <w:rPr>
                <w:sz w:val="20"/>
                <w:szCs w:val="20"/>
                <w:color w:val="auto"/>
              </w:rPr>
            </w:pPr>
            <w:r>
              <w:rPr>
                <w:rFonts w:ascii="Arial" w:cs="Arial" w:eastAsia="Arial" w:hAnsi="Arial"/>
                <w:sz w:val="14"/>
                <w:szCs w:val="14"/>
                <w:b w:val="1"/>
                <w:bCs w:val="1"/>
                <w:color w:val="auto"/>
              </w:rPr>
              <w:t>Base Salary</w:t>
            </w:r>
          </w:p>
        </w:tc>
        <w:tc>
          <w:tcPr>
            <w:tcW w:w="72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178"/>
        </w:trPr>
        <w:tc>
          <w:tcPr>
            <w:tcW w:w="1720" w:type="dxa"/>
            <w:vAlign w:val="bottom"/>
            <w:tcBorders>
              <w:bottom w:val="single" w:sz="8" w:color="auto"/>
            </w:tcBorders>
            <w:vMerge w:val="continue"/>
          </w:tcPr>
          <w:p>
            <w:pPr>
              <w:spacing w:after="0"/>
              <w:rPr>
                <w:sz w:val="15"/>
                <w:szCs w:val="15"/>
                <w:color w:val="auto"/>
              </w:rPr>
            </w:pPr>
          </w:p>
        </w:tc>
        <w:tc>
          <w:tcPr>
            <w:tcW w:w="31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at Start of 2022</w:t>
            </w:r>
          </w:p>
        </w:tc>
        <w:tc>
          <w:tcPr>
            <w:tcW w:w="1760" w:type="dxa"/>
            <w:vAlign w:val="bottom"/>
            <w:gridSpan w:val="3"/>
          </w:tcPr>
          <w:p>
            <w:pPr>
              <w:jc w:val="center"/>
              <w:ind w:left="555"/>
              <w:spacing w:after="0" w:line="158" w:lineRule="exact"/>
              <w:rPr>
                <w:sz w:val="20"/>
                <w:szCs w:val="20"/>
                <w:color w:val="auto"/>
              </w:rPr>
            </w:pPr>
            <w:r>
              <w:rPr>
                <w:rFonts w:ascii="Arial" w:cs="Arial" w:eastAsia="Arial" w:hAnsi="Arial"/>
                <w:sz w:val="14"/>
                <w:szCs w:val="14"/>
                <w:b w:val="1"/>
                <w:bCs w:val="1"/>
                <w:color w:val="auto"/>
              </w:rPr>
              <w:t>at End of 2022</w:t>
            </w:r>
          </w:p>
        </w:tc>
        <w:tc>
          <w:tcPr>
            <w:tcW w:w="0" w:type="dxa"/>
            <w:vAlign w:val="bottom"/>
          </w:tcPr>
          <w:p>
            <w:pPr>
              <w:spacing w:after="0"/>
              <w:rPr>
                <w:sz w:val="1"/>
                <w:szCs w:val="1"/>
                <w:color w:val="auto"/>
              </w:rPr>
            </w:pPr>
          </w:p>
        </w:tc>
      </w:tr>
      <w:tr>
        <w:trPr>
          <w:trHeight w:val="189"/>
        </w:trPr>
        <w:tc>
          <w:tcPr>
            <w:tcW w:w="1720" w:type="dxa"/>
            <w:vAlign w:val="bottom"/>
            <w:tcBorders>
              <w:top w:val="single" w:sz="8" w:color="E5E5E5"/>
            </w:tcBorders>
            <w:shd w:val="clear" w:color="auto" w:fill="E5E5E5"/>
          </w:tcPr>
          <w:p>
            <w:pPr>
              <w:spacing w:after="0" w:line="189" w:lineRule="exact"/>
              <w:rPr>
                <w:sz w:val="20"/>
                <w:szCs w:val="20"/>
                <w:color w:val="auto"/>
              </w:rPr>
            </w:pPr>
            <w:r>
              <w:rPr>
                <w:rFonts w:ascii="Arial" w:cs="Arial" w:eastAsia="Arial" w:hAnsi="Arial"/>
                <w:sz w:val="18"/>
                <w:szCs w:val="18"/>
                <w:color w:val="auto"/>
              </w:rPr>
              <w:t>Sumedh S. Thakar</w:t>
            </w:r>
          </w:p>
        </w:tc>
        <w:tc>
          <w:tcPr>
            <w:tcW w:w="2120" w:type="dxa"/>
            <w:vAlign w:val="bottom"/>
            <w:tcBorders>
              <w:top w:val="single" w:sz="8" w:color="E5E5E5"/>
            </w:tcBorders>
            <w:shd w:val="clear" w:color="auto" w:fill="E5E5E5"/>
          </w:tcPr>
          <w:p>
            <w:pPr>
              <w:spacing w:after="0"/>
              <w:rPr>
                <w:sz w:val="16"/>
                <w:szCs w:val="16"/>
                <w:color w:val="auto"/>
              </w:rPr>
            </w:pPr>
          </w:p>
        </w:tc>
        <w:tc>
          <w:tcPr>
            <w:tcW w:w="10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   550,000</w:t>
            </w:r>
          </w:p>
        </w:tc>
        <w:tc>
          <w:tcPr>
            <w:tcW w:w="720" w:type="dxa"/>
            <w:vAlign w:val="bottom"/>
            <w:tcBorders>
              <w:top w:val="single" w:sz="8" w:color="E5E5E5"/>
            </w:tcBorders>
            <w:shd w:val="clear" w:color="auto" w:fill="E5E5E5"/>
          </w:tcPr>
          <w:p>
            <w:pPr>
              <w:spacing w:after="0"/>
              <w:rPr>
                <w:sz w:val="16"/>
                <w:szCs w:val="16"/>
                <w:color w:val="auto"/>
              </w:rPr>
            </w:pPr>
          </w:p>
        </w:tc>
        <w:tc>
          <w:tcPr>
            <w:tcW w:w="98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   550,000</w:t>
            </w:r>
          </w:p>
        </w:tc>
        <w:tc>
          <w:tcPr>
            <w:tcW w:w="60" w:type="dxa"/>
            <w:vAlign w:val="bottom"/>
            <w:tcBorders>
              <w:top w:val="single" w:sz="8" w:color="E5E5E5"/>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Joo Mi Kim</w:t>
            </w:r>
          </w:p>
        </w:tc>
        <w:tc>
          <w:tcPr>
            <w:tcW w:w="3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410,000</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Bruce K. Posey</w:t>
            </w:r>
          </w:p>
        </w:tc>
        <w:tc>
          <w:tcPr>
            <w:tcW w:w="31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360,000</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360,000</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r>
              <w:rPr>
                <w:rFonts w:ascii="Arial" w:cs="Arial" w:eastAsia="Arial" w:hAnsi="Arial"/>
                <w:sz w:val="18"/>
                <w:szCs w:val="18"/>
                <w:color w:val="auto"/>
              </w:rPr>
              <w:t>Allan Peters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80" w:firstLine="440"/>
        <w:spacing w:after="0" w:line="271" w:lineRule="auto"/>
        <w:rPr>
          <w:sz w:val="20"/>
          <w:szCs w:val="20"/>
          <w:color w:val="auto"/>
        </w:rPr>
      </w:pPr>
      <w:r>
        <w:rPr>
          <w:rFonts w:ascii="Arial" w:cs="Arial" w:eastAsia="Arial" w:hAnsi="Arial"/>
          <w:sz w:val="18"/>
          <w:szCs w:val="18"/>
          <w:color w:val="auto"/>
        </w:rPr>
        <w:t>The total base salaries paid to our named executive officers during 2022 are set forth in the section entitled “</w:t>
      </w:r>
      <w:r>
        <w:rPr>
          <w:rFonts w:ascii="Arial" w:cs="Arial" w:eastAsia="Arial" w:hAnsi="Arial"/>
          <w:sz w:val="18"/>
          <w:szCs w:val="18"/>
          <w:i w:val="1"/>
          <w:iCs w:val="1"/>
          <w:color w:val="auto"/>
        </w:rPr>
        <w:t>2022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below.</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2022 Corporate Bonus Plan</w:t>
      </w:r>
    </w:p>
    <w:p>
      <w:pPr>
        <w:spacing w:after="0" w:line="102" w:lineRule="exact"/>
        <w:rPr>
          <w:sz w:val="20"/>
          <w:szCs w:val="20"/>
          <w:color w:val="auto"/>
        </w:rPr>
      </w:pPr>
    </w:p>
    <w:p>
      <w:pPr>
        <w:ind w:right="100" w:firstLine="440"/>
        <w:spacing w:after="0" w:line="247" w:lineRule="auto"/>
        <w:rPr>
          <w:sz w:val="20"/>
          <w:szCs w:val="20"/>
          <w:color w:val="auto"/>
        </w:rPr>
      </w:pPr>
      <w:r>
        <w:rPr>
          <w:rFonts w:ascii="Arial" w:cs="Arial" w:eastAsia="Arial" w:hAnsi="Arial"/>
          <w:sz w:val="18"/>
          <w:szCs w:val="18"/>
          <w:color w:val="auto"/>
        </w:rPr>
        <w:t>To motivate and reward our named executive officers to achieve our annual financial and operational objectives and our long-term strategic and growth goals, we provide cash incentive compensation to them based on meeting one or more corporate performance objectives. The objectives change from year to year as we grow and market conditions evolve and different priorities are established, but our Compensation and Talent Committee selects challenging goals that are achievable only by strong performance.</w:t>
      </w:r>
    </w:p>
    <w:p>
      <w:pPr>
        <w:spacing w:after="0" w:line="174"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Except for Mr. Peters (who participated in our Sales Incentive Compensation Plan described below, in light of his position as our Chief Revenue Officer), our named executive officers participated in our 2022 Corporate Bonus Plan, which provided them with an opportunity to receive formula-based incentive amounts on a quarterly basis. Our Compensation and Talent Committee decided this was the most appropriate measure of time to determine achievement of short-term goals because it aligns with the time periods for which we give external guidance. These named executive officers’ target bonus opportunities under the 2022 Corporate Bonus Plan are expressed as a percentage of each named executive officer’s base salary as of the last day of the applicable quarter. For 2022, each named executive officer’s percentage remained unchanged from 2021.</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440" w:top="296" w:right="519" w:bottom="1440" w:gutter="0" w:footer="0" w:header="0"/>
        </w:sectPr>
      </w:pPr>
    </w:p>
    <w:bookmarkStart w:id="40" w:name="page41"/>
    <w:bookmarkEnd w:id="40"/>
    <w:p>
      <w:pPr>
        <w:ind w:firstLine="4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target bonus opportunity of each named executive officer that participated in the 2022 Corporate Bonus Plan is listed in the table below and represents the maximum amount that the named executive officer can receive under the 2022 Corporate Bonus Plan.</w:t>
      </w:r>
    </w:p>
    <w:p>
      <w:pPr>
        <w:spacing w:after="0" w:line="190" w:lineRule="exact"/>
        <w:rPr>
          <w:sz w:val="20"/>
          <w:szCs w:val="20"/>
          <w:color w:val="auto"/>
        </w:rPr>
      </w:pPr>
    </w:p>
    <w:tbl>
      <w:tblPr>
        <w:tblLayout w:type="fixed"/>
        <w:tblInd w:w="176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5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 Maximum)</w:t>
            </w:r>
          </w:p>
        </w:tc>
        <w:tc>
          <w:tcPr>
            <w:tcW w:w="0" w:type="dxa"/>
            <w:vAlign w:val="bottom"/>
          </w:tcPr>
          <w:p>
            <w:pPr>
              <w:spacing w:after="0"/>
              <w:rPr>
                <w:sz w:val="1"/>
                <w:szCs w:val="1"/>
                <w:color w:val="auto"/>
              </w:rPr>
            </w:pPr>
          </w:p>
        </w:tc>
      </w:tr>
      <w:tr>
        <w:trPr>
          <w:trHeight w:val="163"/>
        </w:trPr>
        <w:tc>
          <w:tcPr>
            <w:tcW w:w="1700" w:type="dxa"/>
            <w:vAlign w:val="bottom"/>
            <w:tcBorders>
              <w:bottom w:val="single" w:sz="8" w:color="auto"/>
            </w:tcBorders>
            <w:vMerge w:val="continue"/>
          </w:tcPr>
          <w:p>
            <w:pPr>
              <w:spacing w:after="0"/>
              <w:rPr>
                <w:sz w:val="13"/>
                <w:szCs w:val="13"/>
                <w:color w:val="auto"/>
              </w:rPr>
            </w:pPr>
          </w:p>
        </w:tc>
        <w:tc>
          <w:tcPr>
            <w:tcW w:w="4500" w:type="dxa"/>
            <w:vAlign w:val="bottom"/>
          </w:tcPr>
          <w:p>
            <w:pPr>
              <w:spacing w:after="0"/>
              <w:rPr>
                <w:sz w:val="13"/>
                <w:szCs w:val="13"/>
                <w:color w:val="auto"/>
              </w:rPr>
            </w:pPr>
          </w:p>
        </w:tc>
        <w:tc>
          <w:tcPr>
            <w:tcW w:w="12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Bonus for 2022</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E5E5E5"/>
          </w:tcPr>
          <w:p>
            <w:pPr>
              <w:spacing w:after="0"/>
              <w:rPr>
                <w:sz w:val="20"/>
                <w:szCs w:val="20"/>
                <w:color w:val="auto"/>
              </w:rPr>
            </w:pPr>
            <w:r>
              <w:rPr>
                <w:rFonts w:ascii="Arial" w:cs="Arial" w:eastAsia="Arial" w:hAnsi="Arial"/>
                <w:sz w:val="18"/>
                <w:szCs w:val="18"/>
                <w:color w:val="auto"/>
              </w:rPr>
              <w:t>Sumedh S. Thakar</w:t>
            </w:r>
          </w:p>
        </w:tc>
        <w:tc>
          <w:tcPr>
            <w:tcW w:w="4500" w:type="dxa"/>
            <w:vAlign w:val="bottom"/>
            <w:vMerge w:val="restart"/>
            <w:shd w:val="clear" w:color="auto" w:fill="E5E5E5"/>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E5E5E5"/>
          </w:tcPr>
          <w:p>
            <w:pPr>
              <w:spacing w:after="0"/>
              <w:rPr>
                <w:sz w:val="16"/>
                <w:szCs w:val="16"/>
                <w:color w:val="auto"/>
              </w:rPr>
            </w:pPr>
          </w:p>
        </w:tc>
        <w:tc>
          <w:tcPr>
            <w:tcW w:w="4500" w:type="dxa"/>
            <w:vAlign w:val="bottom"/>
            <w:vMerge w:val="continue"/>
            <w:shd w:val="clear" w:color="auto" w:fill="E5E5E5"/>
          </w:tcPr>
          <w:p>
            <w:pPr>
              <w:spacing w:after="0"/>
              <w:rPr>
                <w:sz w:val="16"/>
                <w:szCs w:val="16"/>
                <w:color w:val="auto"/>
              </w:rPr>
            </w:pPr>
          </w:p>
        </w:tc>
        <w:tc>
          <w:tcPr>
            <w:tcW w:w="12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Joo Mi Kim</w:t>
            </w:r>
          </w:p>
        </w:tc>
        <w:tc>
          <w:tcPr>
            <w:tcW w:w="5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1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Bruce K. Posey</w:t>
            </w:r>
          </w:p>
        </w:tc>
        <w:tc>
          <w:tcPr>
            <w:tcW w:w="578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80" w:firstLine="440"/>
        <w:spacing w:after="0" w:line="244" w:lineRule="auto"/>
        <w:rPr>
          <w:sz w:val="20"/>
          <w:szCs w:val="20"/>
          <w:color w:val="auto"/>
        </w:rPr>
      </w:pPr>
      <w:r>
        <w:rPr>
          <w:rFonts w:ascii="Arial" w:cs="Arial" w:eastAsia="Arial" w:hAnsi="Arial"/>
          <w:sz w:val="18"/>
          <w:szCs w:val="18"/>
          <w:color w:val="auto"/>
        </w:rPr>
        <w:t>For 2022, the performance metrics used to determine bonuses continued to be (i) growth in our bookings for the applicable quarter over the same quarter of the prior year, (ii) growth in revenues from the same quarter in 2021 and (iii) non-GAAP earnings per diluted share, with all three metrics weighted equally. Our Compensation and Talent Committee selected these three metrics, which measure sales growth and profitability, as the corporate performance metrics that best supported our annual operating plan and enhance long-term value creation.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three metrics were calculated as follows:</w:t>
      </w:r>
    </w:p>
    <w:p>
      <w:pPr>
        <w:spacing w:after="0" w:line="117" w:lineRule="exact"/>
        <w:rPr>
          <w:sz w:val="20"/>
          <w:szCs w:val="20"/>
          <w:color w:val="auto"/>
        </w:rPr>
      </w:pPr>
    </w:p>
    <w:p>
      <w:pPr>
        <w:ind w:left="960" w:right="60" w:hanging="424"/>
        <w:spacing w:after="0" w:line="24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Bookings was calculated as the sum of subscribed revenues for all new, renewal and upsell subscriptions contracted by customers and channel partners in each quarter. The subscribed revenues were based on the amount of subscription contracted if the term is one year or less and were capped at one year’s worth of subscribed revenues if the subscription term exceeds one year. The bookings growth measure is an internal measure and is a non-GAAP financial measure.</w:t>
      </w:r>
    </w:p>
    <w:p>
      <w:pPr>
        <w:spacing w:after="0" w:line="79" w:lineRule="exact"/>
        <w:rPr>
          <w:rFonts w:ascii="Arial" w:cs="Arial" w:eastAsia="Arial" w:hAnsi="Arial"/>
          <w:sz w:val="18"/>
          <w:szCs w:val="18"/>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Revenues was determined in accordance with GAAP and set forth in our quarterly and annual financial statements.</w:t>
      </w:r>
    </w:p>
    <w:p>
      <w:pPr>
        <w:spacing w:after="0" w:line="117" w:lineRule="exact"/>
        <w:rPr>
          <w:rFonts w:ascii="Arial" w:cs="Arial" w:eastAsia="Arial" w:hAnsi="Arial"/>
          <w:sz w:val="18"/>
          <w:szCs w:val="18"/>
          <w:color w:val="auto"/>
        </w:rPr>
      </w:pPr>
    </w:p>
    <w:p>
      <w:pPr>
        <w:ind w:left="960" w:right="10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Non-GAAP earnings per diluted share measure was calculated as GAAP net income adjusted for (i) stock-based compensation expense, (ii) amortization of acquired technology, (iii) non-recurring charges such as acquisition related expenses, (iv) bonus expense recorded during the period and (v) the related income tax effects of these adjustments, divided by weighted average shares (diluted) for the applicable quarter. The repurchase of shares under our share repurchase program was considered when calculating non-GAAP earnings per diluted share to avoid any unintended increase in the amount of actual awards under our 2022 Cash Bonus Plan. Appendix A contains a reconciliation of this non-GAAP financial measure to its most directly comparable GAAP measure.</w:t>
      </w:r>
    </w:p>
    <w:p>
      <w:pPr>
        <w:spacing w:after="0" w:line="185" w:lineRule="exact"/>
        <w:rPr>
          <w:sz w:val="20"/>
          <w:szCs w:val="20"/>
          <w:color w:val="auto"/>
        </w:rPr>
      </w:pPr>
    </w:p>
    <w:p>
      <w:pPr>
        <w:ind w:right="80" w:firstLine="440"/>
        <w:spacing w:after="0"/>
        <w:rPr>
          <w:sz w:val="20"/>
          <w:szCs w:val="20"/>
          <w:color w:val="auto"/>
        </w:rPr>
      </w:pPr>
      <w:r>
        <w:rPr>
          <w:rFonts w:ascii="Arial" w:cs="Arial" w:eastAsia="Arial" w:hAnsi="Arial"/>
          <w:sz w:val="18"/>
          <w:szCs w:val="18"/>
          <w:color w:val="auto"/>
        </w:rPr>
        <w:t>For each of the three metrics, performance may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 These exclusions are intended so that performance can be evaluated on organic foreseeable results rather than extraordinary transactions outside the scope of the Compensation and Talent Committee’s forecasts. The Compensation and Talent Committee made no adjustments to these metrics in 2022.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96" w:right="459" w:bottom="1440" w:gutter="0" w:footer="0" w:header="0"/>
        </w:sectPr>
      </w:pPr>
    </w:p>
    <w:bookmarkStart w:id="41" w:name="page42"/>
    <w:bookmarkEnd w:id="4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target award amounts for our named executive officers (other than Mr. Peters) in each quarter of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5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EAEAEA"/>
        </w:rPr>
        <w:t>2022 Corporate Bonus Plan Target Awards</w:t>
      </w:r>
    </w:p>
    <w:p>
      <w:pPr>
        <w:spacing w:after="0" w:line="302"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02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Q1</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Q3</w:t>
            </w: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Q4</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00" w:type="dxa"/>
            <w:vAlign w:val="bottom"/>
            <w:tcBorders>
              <w:bottom w:val="single" w:sz="8" w:color="auto"/>
            </w:tcBorders>
            <w:vMerge w:val="continue"/>
          </w:tcPr>
          <w:p>
            <w:pPr>
              <w:spacing w:after="0"/>
              <w:rPr>
                <w:sz w:val="15"/>
                <w:szCs w:val="15"/>
                <w:color w:val="auto"/>
              </w:rPr>
            </w:pPr>
          </w:p>
        </w:tc>
        <w:tc>
          <w:tcPr>
            <w:tcW w:w="4020" w:type="dxa"/>
            <w:vAlign w:val="bottom"/>
          </w:tcPr>
          <w:p>
            <w:pPr>
              <w:spacing w:after="0"/>
              <w:rPr>
                <w:sz w:val="15"/>
                <w:szCs w:val="15"/>
                <w:color w:val="auto"/>
              </w:rPr>
            </w:pPr>
          </w:p>
        </w:tc>
        <w:tc>
          <w:tcPr>
            <w:tcW w:w="108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Target</w:t>
            </w:r>
          </w:p>
        </w:tc>
        <w:tc>
          <w:tcPr>
            <w:tcW w:w="96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Target</w:t>
            </w:r>
          </w:p>
        </w:tc>
        <w:tc>
          <w:tcPr>
            <w:tcW w:w="11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Target</w:t>
            </w:r>
          </w:p>
        </w:tc>
        <w:tc>
          <w:tcPr>
            <w:tcW w:w="92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89"/>
        </w:trPr>
        <w:tc>
          <w:tcPr>
            <w:tcW w:w="1700" w:type="dxa"/>
            <w:vAlign w:val="bottom"/>
            <w:tcBorders>
              <w:top w:val="single" w:sz="8" w:color="E5E5E5"/>
            </w:tcBorders>
            <w:shd w:val="clear" w:color="auto" w:fill="E5E5E5"/>
          </w:tcPr>
          <w:p>
            <w:pPr>
              <w:spacing w:after="0" w:line="189" w:lineRule="exact"/>
              <w:rPr>
                <w:sz w:val="20"/>
                <w:szCs w:val="20"/>
                <w:color w:val="auto"/>
              </w:rPr>
            </w:pPr>
            <w:r>
              <w:rPr>
                <w:rFonts w:ascii="Arial" w:cs="Arial" w:eastAsia="Arial" w:hAnsi="Arial"/>
                <w:sz w:val="18"/>
                <w:szCs w:val="18"/>
                <w:color w:val="auto"/>
              </w:rPr>
              <w:t>Sumedh S. Thakar</w:t>
            </w:r>
          </w:p>
        </w:tc>
        <w:tc>
          <w:tcPr>
            <w:tcW w:w="4020" w:type="dxa"/>
            <w:vAlign w:val="bottom"/>
            <w:tcBorders>
              <w:top w:val="single" w:sz="8" w:color="E5E5E5"/>
            </w:tcBorders>
            <w:shd w:val="clear" w:color="auto" w:fill="E5E5E5"/>
          </w:tcPr>
          <w:p>
            <w:pPr>
              <w:spacing w:after="0"/>
              <w:rPr>
                <w:sz w:val="16"/>
                <w:szCs w:val="16"/>
                <w:color w:val="auto"/>
              </w:rPr>
            </w:pPr>
          </w:p>
        </w:tc>
        <w:tc>
          <w:tcPr>
            <w:tcW w:w="80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7"/>
              </w:rPr>
              <w:t>$ 137,500</w:t>
            </w:r>
          </w:p>
        </w:tc>
        <w:tc>
          <w:tcPr>
            <w:tcW w:w="280" w:type="dxa"/>
            <w:vAlign w:val="bottom"/>
            <w:tcBorders>
              <w:top w:val="single" w:sz="8" w:color="E5E5E5"/>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$ 137,500</w:t>
            </w:r>
          </w:p>
        </w:tc>
        <w:tc>
          <w:tcPr>
            <w:tcW w:w="140" w:type="dxa"/>
            <w:vAlign w:val="bottom"/>
            <w:tcBorders>
              <w:top w:val="single" w:sz="8" w:color="E5E5E5"/>
            </w:tcBorders>
            <w:shd w:val="clear" w:color="auto" w:fill="E5E5E5"/>
          </w:tcPr>
          <w:p>
            <w:pPr>
              <w:spacing w:after="0"/>
              <w:rPr>
                <w:sz w:val="16"/>
                <w:szCs w:val="16"/>
                <w:color w:val="auto"/>
              </w:rPr>
            </w:pPr>
          </w:p>
        </w:tc>
        <w:tc>
          <w:tcPr>
            <w:tcW w:w="140" w:type="dxa"/>
            <w:vAlign w:val="bottom"/>
            <w:tcBorders>
              <w:top w:val="single" w:sz="8" w:color="E5E5E5"/>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$ 137,500</w:t>
            </w:r>
          </w:p>
        </w:tc>
        <w:tc>
          <w:tcPr>
            <w:tcW w:w="260" w:type="dxa"/>
            <w:vAlign w:val="bottom"/>
            <w:tcBorders>
              <w:top w:val="single" w:sz="8" w:color="E5E5E5"/>
            </w:tcBorders>
            <w:shd w:val="clear" w:color="auto" w:fill="E5E5E5"/>
          </w:tcPr>
          <w:p>
            <w:pPr>
              <w:spacing w:after="0"/>
              <w:rPr>
                <w:sz w:val="16"/>
                <w:szCs w:val="16"/>
                <w:color w:val="auto"/>
              </w:rPr>
            </w:pPr>
          </w:p>
        </w:tc>
        <w:tc>
          <w:tcPr>
            <w:tcW w:w="84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$ 137,500</w:t>
            </w:r>
          </w:p>
        </w:tc>
        <w:tc>
          <w:tcPr>
            <w:tcW w:w="280" w:type="dxa"/>
            <w:vAlign w:val="bottom"/>
            <w:tcBorders>
              <w:top w:val="single" w:sz="8" w:color="E5E5E5"/>
            </w:tcBorders>
            <w:shd w:val="clear" w:color="auto" w:fill="E5E5E5"/>
          </w:tcPr>
          <w:p>
            <w:pPr>
              <w:spacing w:after="0"/>
              <w:rPr>
                <w:sz w:val="16"/>
                <w:szCs w:val="16"/>
                <w:color w:val="auto"/>
              </w:rPr>
            </w:pPr>
          </w:p>
        </w:tc>
        <w:tc>
          <w:tcPr>
            <w:tcW w:w="84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$ 550,000</w:t>
            </w:r>
          </w:p>
        </w:tc>
        <w:tc>
          <w:tcPr>
            <w:tcW w:w="80" w:type="dxa"/>
            <w:vAlign w:val="bottom"/>
            <w:tcBorders>
              <w:top w:val="single" w:sz="8" w:color="E5E5E5"/>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Joo Mi Kim</w:t>
            </w:r>
          </w:p>
        </w:tc>
        <w:tc>
          <w:tcPr>
            <w:tcW w:w="51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51,250</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51,250</w:t>
            </w: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51,250</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51,250</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205,000</w:t>
            </w:r>
          </w:p>
        </w:tc>
        <w:tc>
          <w:tcPr>
            <w:tcW w:w="0" w:type="dxa"/>
            <w:vAlign w:val="bottom"/>
          </w:tcPr>
          <w:p>
            <w:pPr>
              <w:spacing w:after="0"/>
              <w:rPr>
                <w:sz w:val="1"/>
                <w:szCs w:val="1"/>
                <w:color w:val="auto"/>
              </w:rPr>
            </w:pPr>
          </w:p>
        </w:tc>
      </w:tr>
      <w:tr>
        <w:trPr>
          <w:trHeight w:val="203"/>
        </w:trPr>
        <w:tc>
          <w:tcPr>
            <w:tcW w:w="1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Bruce K. Posey</w:t>
            </w:r>
          </w:p>
        </w:tc>
        <w:tc>
          <w:tcPr>
            <w:tcW w:w="5100" w:type="dxa"/>
            <w:vAlign w:val="bottom"/>
            <w:gridSpan w:val="3"/>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45,000</w:t>
            </w: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45,000</w:t>
            </w:r>
          </w:p>
        </w:tc>
        <w:tc>
          <w:tcPr>
            <w:tcW w:w="1220" w:type="dxa"/>
            <w:vAlign w:val="bottom"/>
            <w:gridSpan w:val="3"/>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45,000</w:t>
            </w:r>
          </w:p>
        </w:tc>
        <w:tc>
          <w:tcPr>
            <w:tcW w:w="11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45,000</w:t>
            </w:r>
          </w:p>
        </w:tc>
        <w:tc>
          <w:tcPr>
            <w:tcW w:w="9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 w:right="160" w:firstLine="440"/>
        <w:spacing w:after="0" w:line="253" w:lineRule="auto"/>
        <w:rPr>
          <w:sz w:val="20"/>
          <w:szCs w:val="20"/>
          <w:color w:val="auto"/>
        </w:rPr>
      </w:pPr>
      <w:r>
        <w:rPr>
          <w:rFonts w:ascii="Arial" w:cs="Arial" w:eastAsia="Arial" w:hAnsi="Arial"/>
          <w:sz w:val="18"/>
          <w:szCs w:val="18"/>
          <w:color w:val="auto"/>
        </w:rPr>
        <w:t>Each named executive officer’s bonus is paid as a percentage of his or her target incentive amount based on the weighted average of the payout percentages for each applicable measure. To be eligible for a quarterly bonus payment under our 2022 Corporate Bonus Plan, an individual must be employed as of the last day of the quarter.</w:t>
      </w:r>
    </w:p>
    <w:p>
      <w:pPr>
        <w:spacing w:after="0" w:line="169" w:lineRule="exact"/>
        <w:rPr>
          <w:sz w:val="20"/>
          <w:szCs w:val="20"/>
          <w:color w:val="auto"/>
        </w:rPr>
      </w:pPr>
    </w:p>
    <w:p>
      <w:pPr>
        <w:ind w:left="4" w:right="60" w:firstLine="440"/>
        <w:spacing w:after="0" w:line="253" w:lineRule="auto"/>
        <w:rPr>
          <w:sz w:val="20"/>
          <w:szCs w:val="20"/>
          <w:color w:val="auto"/>
        </w:rPr>
      </w:pPr>
      <w:r>
        <w:rPr>
          <w:rFonts w:ascii="Arial" w:cs="Arial" w:eastAsia="Arial" w:hAnsi="Arial"/>
          <w:sz w:val="18"/>
          <w:szCs w:val="18"/>
          <w:color w:val="auto"/>
        </w:rPr>
        <w:t>For each of the three equally-weighted measures, the payout percentage was capped at target (100%). Our Compensation and Talent Committee believed that achieving the top end of the targets would be sufficiently challenging and incentivize top-end performance. Payout could be zero if performance is below minimum levels for all three measures.</w:t>
      </w:r>
    </w:p>
    <w:p>
      <w:pPr>
        <w:spacing w:after="0" w:line="169" w:lineRule="exact"/>
        <w:rPr>
          <w:sz w:val="20"/>
          <w:szCs w:val="20"/>
          <w:color w:val="auto"/>
        </w:rPr>
      </w:pPr>
    </w:p>
    <w:p>
      <w:pPr>
        <w:ind w:left="4" w:right="140" w:firstLine="440"/>
        <w:spacing w:after="0" w:line="271" w:lineRule="auto"/>
        <w:rPr>
          <w:sz w:val="20"/>
          <w:szCs w:val="20"/>
          <w:color w:val="auto"/>
        </w:rPr>
      </w:pPr>
      <w:r>
        <w:rPr>
          <w:rFonts w:ascii="Arial" w:cs="Arial" w:eastAsia="Arial" w:hAnsi="Arial"/>
          <w:sz w:val="18"/>
          <w:szCs w:val="18"/>
          <w:color w:val="auto"/>
        </w:rPr>
        <w:t>The following table shows the level of achievement of each quarterly performance target under our 2022 Corporate Bonus Plan and the corresponding payout for each of these quarterly performance targets:</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Q1</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Q2</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Q3</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Q4</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Actual</w:t>
            </w:r>
          </w:p>
        </w:tc>
        <w:tc>
          <w:tcPr>
            <w:tcW w:w="500" w:type="dxa"/>
            <w:vAlign w:val="bottom"/>
          </w:tcPr>
          <w:p>
            <w:pPr>
              <w:ind w:left="20"/>
              <w:spacing w:after="0" w:line="155" w:lineRule="exact"/>
              <w:rPr>
                <w:sz w:val="20"/>
                <w:szCs w:val="20"/>
                <w:color w:val="auto"/>
              </w:rPr>
            </w:pPr>
            <w:r>
              <w:rPr>
                <w:rFonts w:ascii="Arial" w:cs="Arial" w:eastAsia="Arial" w:hAnsi="Arial"/>
                <w:sz w:val="14"/>
                <w:szCs w:val="14"/>
                <w:b w:val="1"/>
                <w:bCs w:val="1"/>
                <w:color w:val="auto"/>
                <w:w w:val="98"/>
              </w:rPr>
              <w:t>Payout</w:t>
            </w:r>
          </w:p>
        </w:tc>
        <w:tc>
          <w:tcPr>
            <w:tcW w:w="28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Target</w:t>
            </w: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8"/>
              </w:rPr>
              <w:t>Target</w:t>
            </w:r>
          </w:p>
        </w:tc>
        <w:tc>
          <w:tcPr>
            <w:tcW w:w="10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300" w:type="dxa"/>
            <w:vAlign w:val="bottom"/>
          </w:tcPr>
          <w:p>
            <w:pPr>
              <w:spacing w:after="0"/>
              <w:rPr>
                <w:sz w:val="13"/>
                <w:szCs w:val="13"/>
                <w:color w:val="auto"/>
              </w:rPr>
            </w:pPr>
          </w:p>
        </w:tc>
        <w:tc>
          <w:tcPr>
            <w:tcW w:w="72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3"/>
              </w:rPr>
              <w:t>Target</w:t>
            </w:r>
          </w:p>
        </w:tc>
        <w:tc>
          <w:tcPr>
            <w:tcW w:w="7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Bookings Growth</w:t>
            </w:r>
          </w:p>
        </w:tc>
        <w:tc>
          <w:tcPr>
            <w:tcW w:w="520" w:type="dxa"/>
            <w:vAlign w:val="bottom"/>
            <w:vMerge w:val="restart"/>
            <w:shd w:val="clear" w:color="auto" w:fill="E5E5E5"/>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80" w:type="dxa"/>
            <w:vAlign w:val="bottom"/>
            <w:vMerge w:val="restart"/>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E5E5E5"/>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E5E5E5"/>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80" w:type="dxa"/>
            <w:vAlign w:val="bottom"/>
            <w:vMerge w:val="restart"/>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100" w:type="dxa"/>
            <w:vAlign w:val="bottom"/>
            <w:vMerge w:val="restart"/>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E5E5E5"/>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E5E5E5"/>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0" w:type="dxa"/>
            <w:vAlign w:val="bottom"/>
            <w:vMerge w:val="continue"/>
            <w:shd w:val="clear" w:color="auto" w:fill="E5E5E5"/>
          </w:tcPr>
          <w:p>
            <w:pPr>
              <w:spacing w:after="0"/>
              <w:rPr>
                <w:sz w:val="13"/>
                <w:szCs w:val="13"/>
                <w:color w:val="auto"/>
              </w:rPr>
            </w:pPr>
          </w:p>
        </w:tc>
        <w:tc>
          <w:tcPr>
            <w:tcW w:w="520" w:type="dxa"/>
            <w:vAlign w:val="bottom"/>
            <w:vMerge w:val="continue"/>
            <w:shd w:val="clear" w:color="auto" w:fill="E5E5E5"/>
          </w:tcPr>
          <w:p>
            <w:pPr>
              <w:spacing w:after="0"/>
              <w:rPr>
                <w:sz w:val="13"/>
                <w:szCs w:val="13"/>
                <w:color w:val="auto"/>
              </w:rPr>
            </w:pPr>
          </w:p>
        </w:tc>
        <w:tc>
          <w:tcPr>
            <w:tcW w:w="640" w:type="dxa"/>
            <w:vAlign w:val="bottom"/>
            <w:gridSpan w:val="2"/>
            <w:shd w:val="clear" w:color="auto" w:fill="E5E5E5"/>
          </w:tcPr>
          <w:p>
            <w:pPr>
              <w:jc w:val="right"/>
              <w:ind w:right="80"/>
              <w:spacing w:after="0" w:line="155" w:lineRule="exact"/>
              <w:rPr>
                <w:sz w:val="20"/>
                <w:szCs w:val="20"/>
                <w:color w:val="auto"/>
              </w:rPr>
            </w:pPr>
            <w:r>
              <w:rPr>
                <w:rFonts w:ascii="Arial" w:cs="Arial" w:eastAsia="Arial" w:hAnsi="Arial"/>
                <w:sz w:val="14"/>
                <w:szCs w:val="14"/>
                <w:color w:val="auto"/>
              </w:rPr>
              <w:t>19.8%</w:t>
            </w:r>
          </w:p>
        </w:tc>
        <w:tc>
          <w:tcPr>
            <w:tcW w:w="80" w:type="dxa"/>
            <w:vAlign w:val="bottom"/>
            <w:vMerge w:val="continue"/>
            <w:shd w:val="clear" w:color="auto" w:fill="E5E5E5"/>
          </w:tcPr>
          <w:p>
            <w:pPr>
              <w:spacing w:after="0"/>
              <w:rPr>
                <w:sz w:val="13"/>
                <w:szCs w:val="13"/>
                <w:color w:val="auto"/>
              </w:rPr>
            </w:pPr>
          </w:p>
        </w:tc>
        <w:tc>
          <w:tcPr>
            <w:tcW w:w="44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vMerge w:val="continue"/>
            <w:shd w:val="clear" w:color="auto" w:fill="E5E5E5"/>
          </w:tcPr>
          <w:p>
            <w:pPr>
              <w:spacing w:after="0"/>
              <w:rPr>
                <w:sz w:val="13"/>
                <w:szCs w:val="13"/>
                <w:color w:val="auto"/>
              </w:rPr>
            </w:pPr>
          </w:p>
        </w:tc>
        <w:tc>
          <w:tcPr>
            <w:tcW w:w="780" w:type="dxa"/>
            <w:vAlign w:val="bottom"/>
            <w:gridSpan w:val="2"/>
            <w:shd w:val="clear" w:color="auto" w:fill="E5E5E5"/>
          </w:tcPr>
          <w:p>
            <w:pPr>
              <w:jc w:val="right"/>
              <w:ind w:right="160"/>
              <w:spacing w:after="0" w:line="155" w:lineRule="exact"/>
              <w:rPr>
                <w:sz w:val="20"/>
                <w:szCs w:val="20"/>
                <w:color w:val="auto"/>
              </w:rPr>
            </w:pPr>
            <w:r>
              <w:rPr>
                <w:rFonts w:ascii="Arial" w:cs="Arial" w:eastAsia="Arial" w:hAnsi="Arial"/>
                <w:sz w:val="14"/>
                <w:szCs w:val="14"/>
                <w:color w:val="auto"/>
              </w:rPr>
              <w:t>90%</w:t>
            </w:r>
          </w:p>
        </w:tc>
        <w:tc>
          <w:tcPr>
            <w:tcW w:w="740" w:type="dxa"/>
            <w:vAlign w:val="bottom"/>
            <w:gridSpan w:val="2"/>
            <w:shd w:val="clear" w:color="auto" w:fill="E5E5E5"/>
          </w:tcPr>
          <w:p>
            <w:pPr>
              <w:jc w:val="right"/>
              <w:ind w:right="160"/>
              <w:spacing w:after="0" w:line="155" w:lineRule="exact"/>
              <w:rPr>
                <w:sz w:val="20"/>
                <w:szCs w:val="20"/>
                <w:color w:val="auto"/>
              </w:rPr>
            </w:pPr>
            <w:r>
              <w:rPr>
                <w:rFonts w:ascii="Arial" w:cs="Arial" w:eastAsia="Arial" w:hAnsi="Arial"/>
                <w:sz w:val="14"/>
                <w:szCs w:val="14"/>
                <w:color w:val="auto"/>
              </w:rPr>
              <w:t>14.8%</w:t>
            </w:r>
          </w:p>
        </w:tc>
        <w:tc>
          <w:tcPr>
            <w:tcW w:w="44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vMerge w:val="continue"/>
            <w:shd w:val="clear" w:color="auto" w:fill="E5E5E5"/>
          </w:tcPr>
          <w:p>
            <w:pPr>
              <w:spacing w:after="0"/>
              <w:rPr>
                <w:sz w:val="13"/>
                <w:szCs w:val="13"/>
                <w:color w:val="auto"/>
              </w:rPr>
            </w:pPr>
          </w:p>
        </w:tc>
        <w:tc>
          <w:tcPr>
            <w:tcW w:w="700" w:type="dxa"/>
            <w:vAlign w:val="bottom"/>
            <w:gridSpan w:val="2"/>
            <w:shd w:val="clear" w:color="auto" w:fill="E5E5E5"/>
          </w:tcPr>
          <w:p>
            <w:pPr>
              <w:jc w:val="right"/>
              <w:ind w:right="80"/>
              <w:spacing w:after="0" w:line="155" w:lineRule="exact"/>
              <w:rPr>
                <w:sz w:val="20"/>
                <w:szCs w:val="20"/>
                <w:color w:val="auto"/>
              </w:rPr>
            </w:pPr>
            <w:r>
              <w:rPr>
                <w:rFonts w:ascii="Arial" w:cs="Arial" w:eastAsia="Arial" w:hAnsi="Arial"/>
                <w:sz w:val="14"/>
                <w:szCs w:val="14"/>
                <w:color w:val="auto"/>
              </w:rPr>
              <w:t>100%</w:t>
            </w:r>
          </w:p>
        </w:tc>
        <w:tc>
          <w:tcPr>
            <w:tcW w:w="80" w:type="dxa"/>
            <w:vAlign w:val="bottom"/>
            <w:vMerge w:val="continue"/>
            <w:shd w:val="clear" w:color="auto" w:fill="E5E5E5"/>
          </w:tcPr>
          <w:p>
            <w:pPr>
              <w:spacing w:after="0"/>
              <w:rPr>
                <w:sz w:val="13"/>
                <w:szCs w:val="13"/>
                <w:color w:val="auto"/>
              </w:rPr>
            </w:pPr>
          </w:p>
        </w:tc>
        <w:tc>
          <w:tcPr>
            <w:tcW w:w="640" w:type="dxa"/>
            <w:vAlign w:val="bottom"/>
            <w:gridSpan w:val="2"/>
            <w:shd w:val="clear" w:color="auto" w:fill="E5E5E5"/>
          </w:tcPr>
          <w:p>
            <w:pPr>
              <w:jc w:val="right"/>
              <w:ind w:right="80"/>
              <w:spacing w:after="0" w:line="155" w:lineRule="exact"/>
              <w:rPr>
                <w:sz w:val="20"/>
                <w:szCs w:val="20"/>
                <w:color w:val="auto"/>
              </w:rPr>
            </w:pPr>
            <w:r>
              <w:rPr>
                <w:rFonts w:ascii="Arial" w:cs="Arial" w:eastAsia="Arial" w:hAnsi="Arial"/>
                <w:sz w:val="14"/>
                <w:szCs w:val="14"/>
                <w:color w:val="auto"/>
              </w:rPr>
              <w:t>22.5%</w:t>
            </w:r>
          </w:p>
        </w:tc>
        <w:tc>
          <w:tcPr>
            <w:tcW w:w="100" w:type="dxa"/>
            <w:vAlign w:val="bottom"/>
            <w:vMerge w:val="continue"/>
            <w:shd w:val="clear" w:color="auto" w:fill="E5E5E5"/>
          </w:tcPr>
          <w:p>
            <w:pPr>
              <w:spacing w:after="0"/>
              <w:rPr>
                <w:sz w:val="13"/>
                <w:szCs w:val="13"/>
                <w:color w:val="auto"/>
              </w:rPr>
            </w:pPr>
          </w:p>
        </w:tc>
        <w:tc>
          <w:tcPr>
            <w:tcW w:w="44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vMerge w:val="continue"/>
            <w:shd w:val="clear" w:color="auto" w:fill="E5E5E5"/>
          </w:tcPr>
          <w:p>
            <w:pPr>
              <w:spacing w:after="0"/>
              <w:rPr>
                <w:sz w:val="13"/>
                <w:szCs w:val="13"/>
                <w:color w:val="auto"/>
              </w:rPr>
            </w:pPr>
          </w:p>
        </w:tc>
        <w:tc>
          <w:tcPr>
            <w:tcW w:w="780" w:type="dxa"/>
            <w:vAlign w:val="bottom"/>
            <w:gridSpan w:val="2"/>
            <w:shd w:val="clear" w:color="auto" w:fill="E5E5E5"/>
          </w:tcPr>
          <w:p>
            <w:pPr>
              <w:jc w:val="right"/>
              <w:ind w:right="160"/>
              <w:spacing w:after="0" w:line="155" w:lineRule="exact"/>
              <w:rPr>
                <w:sz w:val="20"/>
                <w:szCs w:val="20"/>
                <w:color w:val="auto"/>
              </w:rPr>
            </w:pPr>
            <w:r>
              <w:rPr>
                <w:rFonts w:ascii="Arial" w:cs="Arial" w:eastAsia="Arial" w:hAnsi="Arial"/>
                <w:sz w:val="14"/>
                <w:szCs w:val="14"/>
                <w:color w:val="auto"/>
              </w:rPr>
              <w:t>51%</w:t>
            </w:r>
          </w:p>
        </w:tc>
        <w:tc>
          <w:tcPr>
            <w:tcW w:w="720" w:type="dxa"/>
            <w:vAlign w:val="bottom"/>
            <w:gridSpan w:val="2"/>
            <w:shd w:val="clear" w:color="auto" w:fill="E5E5E5"/>
          </w:tcPr>
          <w:p>
            <w:pPr>
              <w:jc w:val="right"/>
              <w:ind w:right="160"/>
              <w:spacing w:after="0" w:line="155" w:lineRule="exact"/>
              <w:rPr>
                <w:sz w:val="20"/>
                <w:szCs w:val="20"/>
                <w:color w:val="auto"/>
              </w:rPr>
            </w:pPr>
            <w:r>
              <w:rPr>
                <w:rFonts w:ascii="Arial" w:cs="Arial" w:eastAsia="Arial" w:hAnsi="Arial"/>
                <w:sz w:val="14"/>
                <w:szCs w:val="14"/>
                <w:color w:val="auto"/>
              </w:rPr>
              <w:t>17.9%</w:t>
            </w:r>
          </w:p>
        </w:tc>
        <w:tc>
          <w:tcPr>
            <w:tcW w:w="460" w:type="dxa"/>
            <w:vAlign w:val="bottom"/>
            <w:shd w:val="clear" w:color="auto" w:fill="E5E5E5"/>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vMerge w:val="continue"/>
            <w:shd w:val="clear" w:color="auto" w:fill="E5E5E5"/>
          </w:tcPr>
          <w:p>
            <w:pPr>
              <w:spacing w:after="0"/>
              <w:rPr>
                <w:sz w:val="13"/>
                <w:szCs w:val="13"/>
                <w:color w:val="auto"/>
              </w:rPr>
            </w:pPr>
          </w:p>
        </w:tc>
        <w:tc>
          <w:tcPr>
            <w:tcW w:w="660" w:type="dxa"/>
            <w:vAlign w:val="bottom"/>
            <w:gridSpan w:val="2"/>
            <w:shd w:val="clear" w:color="auto" w:fill="E5E5E5"/>
          </w:tcPr>
          <w:p>
            <w:pPr>
              <w:jc w:val="right"/>
              <w:ind w:right="60"/>
              <w:spacing w:after="0" w:line="155"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Rev Growth</w:t>
            </w:r>
          </w:p>
        </w:tc>
        <w:tc>
          <w:tcPr>
            <w:tcW w:w="1160" w:type="dxa"/>
            <w:vAlign w:val="bottom"/>
            <w:gridSpan w:val="3"/>
          </w:tcPr>
          <w:p>
            <w:pPr>
              <w:jc w:val="right"/>
              <w:ind w:right="80"/>
              <w:spacing w:after="0"/>
              <w:rPr>
                <w:sz w:val="20"/>
                <w:szCs w:val="20"/>
                <w:color w:val="auto"/>
              </w:rPr>
            </w:pPr>
            <w:r>
              <w:rPr>
                <w:rFonts w:ascii="Arial" w:cs="Arial" w:eastAsia="Arial" w:hAnsi="Arial"/>
                <w:sz w:val="14"/>
                <w:szCs w:val="14"/>
                <w:color w:val="auto"/>
              </w:rPr>
              <w:t>17.3%</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17.2%</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94%</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20.1%</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20.3%</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100%</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20.4%</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19.7%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94%</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20.7%</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19.1%</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2"/>
        </w:trPr>
        <w:tc>
          <w:tcPr>
            <w:tcW w:w="1600" w:type="dxa"/>
            <w:vAlign w:val="bottom"/>
            <w:shd w:val="clear" w:color="auto" w:fill="E5E5E5"/>
          </w:tcPr>
          <w:p>
            <w:pPr>
              <w:spacing w:after="0"/>
              <w:rPr>
                <w:sz w:val="20"/>
                <w:szCs w:val="20"/>
                <w:color w:val="auto"/>
              </w:rPr>
            </w:pPr>
            <w:r>
              <w:rPr>
                <w:rFonts w:ascii="Arial" w:cs="Arial" w:eastAsia="Arial" w:hAnsi="Arial"/>
                <w:sz w:val="14"/>
                <w:szCs w:val="14"/>
                <w:color w:val="auto"/>
              </w:rPr>
              <w:t>Non-GAAP EPS</w:t>
            </w:r>
          </w:p>
        </w:tc>
        <w:tc>
          <w:tcPr>
            <w:tcW w:w="1160" w:type="dxa"/>
            <w:vAlign w:val="bottom"/>
            <w:gridSpan w:val="3"/>
            <w:shd w:val="clear" w:color="auto" w:fill="E5E5E5"/>
          </w:tcPr>
          <w:p>
            <w:pPr>
              <w:jc w:val="right"/>
              <w:ind w:right="220"/>
              <w:spacing w:after="0"/>
              <w:rPr>
                <w:sz w:val="20"/>
                <w:szCs w:val="20"/>
                <w:color w:val="auto"/>
              </w:rPr>
            </w:pPr>
            <w:r>
              <w:rPr>
                <w:rFonts w:ascii="Arial" w:cs="Arial" w:eastAsia="Arial" w:hAnsi="Arial"/>
                <w:sz w:val="14"/>
                <w:szCs w:val="14"/>
                <w:color w:val="auto"/>
              </w:rPr>
              <w:t>$ 0.84</w:t>
            </w:r>
          </w:p>
        </w:tc>
        <w:tc>
          <w:tcPr>
            <w:tcW w:w="820" w:type="dxa"/>
            <w:vAlign w:val="bottom"/>
            <w:gridSpan w:val="3"/>
            <w:shd w:val="clear" w:color="auto" w:fill="E5E5E5"/>
          </w:tcPr>
          <w:p>
            <w:pPr>
              <w:jc w:val="right"/>
              <w:ind w:right="280"/>
              <w:spacing w:after="0"/>
              <w:rPr>
                <w:sz w:val="20"/>
                <w:szCs w:val="20"/>
                <w:color w:val="auto"/>
              </w:rPr>
            </w:pPr>
            <w:r>
              <w:rPr>
                <w:rFonts w:ascii="Arial" w:cs="Arial" w:eastAsia="Arial" w:hAnsi="Arial"/>
                <w:sz w:val="14"/>
                <w:szCs w:val="14"/>
                <w:color w:val="auto"/>
              </w:rPr>
              <w:t>$ 0.89</w:t>
            </w:r>
          </w:p>
        </w:tc>
        <w:tc>
          <w:tcPr>
            <w:tcW w:w="7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100%</w:t>
            </w:r>
          </w:p>
        </w:tc>
        <w:tc>
          <w:tcPr>
            <w:tcW w:w="740" w:type="dxa"/>
            <w:vAlign w:val="bottom"/>
            <w:gridSpan w:val="2"/>
            <w:shd w:val="clear" w:color="auto" w:fill="E5E5E5"/>
          </w:tcPr>
          <w:p>
            <w:pPr>
              <w:jc w:val="right"/>
              <w:ind w:right="300"/>
              <w:spacing w:after="0"/>
              <w:rPr>
                <w:sz w:val="20"/>
                <w:szCs w:val="20"/>
                <w:color w:val="auto"/>
              </w:rPr>
            </w:pPr>
            <w:r>
              <w:rPr>
                <w:rFonts w:ascii="Arial" w:cs="Arial" w:eastAsia="Arial" w:hAnsi="Arial"/>
                <w:sz w:val="14"/>
                <w:szCs w:val="14"/>
                <w:color w:val="auto"/>
              </w:rPr>
              <w:t>$ 0.69</w:t>
            </w:r>
          </w:p>
        </w:tc>
        <w:tc>
          <w:tcPr>
            <w:tcW w:w="740" w:type="dxa"/>
            <w:vAlign w:val="bottom"/>
            <w:gridSpan w:val="2"/>
            <w:shd w:val="clear" w:color="auto" w:fill="E5E5E5"/>
          </w:tcPr>
          <w:p>
            <w:pPr>
              <w:jc w:val="right"/>
              <w:ind w:right="300"/>
              <w:spacing w:after="0"/>
              <w:rPr>
                <w:sz w:val="20"/>
                <w:szCs w:val="20"/>
                <w:color w:val="auto"/>
              </w:rPr>
            </w:pPr>
            <w:r>
              <w:rPr>
                <w:rFonts w:ascii="Arial" w:cs="Arial" w:eastAsia="Arial" w:hAnsi="Arial"/>
                <w:sz w:val="14"/>
                <w:szCs w:val="14"/>
                <w:color w:val="auto"/>
              </w:rPr>
              <w:t>$ 0.89</w:t>
            </w:r>
          </w:p>
        </w:tc>
        <w:tc>
          <w:tcPr>
            <w:tcW w:w="70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100%</w:t>
            </w:r>
          </w:p>
        </w:tc>
        <w:tc>
          <w:tcPr>
            <w:tcW w:w="720" w:type="dxa"/>
            <w:vAlign w:val="bottom"/>
            <w:gridSpan w:val="3"/>
            <w:shd w:val="clear" w:color="auto" w:fill="E5E5E5"/>
          </w:tcPr>
          <w:p>
            <w:pPr>
              <w:jc w:val="right"/>
              <w:ind w:right="200"/>
              <w:spacing w:after="0"/>
              <w:rPr>
                <w:sz w:val="20"/>
                <w:szCs w:val="20"/>
                <w:color w:val="auto"/>
              </w:rPr>
            </w:pPr>
            <w:r>
              <w:rPr>
                <w:rFonts w:ascii="Arial" w:cs="Arial" w:eastAsia="Arial" w:hAnsi="Arial"/>
                <w:sz w:val="14"/>
                <w:szCs w:val="14"/>
                <w:color w:val="auto"/>
              </w:rPr>
              <w:t>$ 0.73</w:t>
            </w:r>
          </w:p>
        </w:tc>
        <w:tc>
          <w:tcPr>
            <w:tcW w:w="840" w:type="dxa"/>
            <w:vAlign w:val="bottom"/>
            <w:gridSpan w:val="3"/>
            <w:shd w:val="clear" w:color="auto" w:fill="E5E5E5"/>
          </w:tcPr>
          <w:p>
            <w:pPr>
              <w:jc w:val="right"/>
              <w:ind w:right="300"/>
              <w:spacing w:after="0"/>
              <w:rPr>
                <w:sz w:val="20"/>
                <w:szCs w:val="20"/>
                <w:color w:val="auto"/>
              </w:rPr>
            </w:pPr>
            <w:r>
              <w:rPr>
                <w:rFonts w:ascii="Arial" w:cs="Arial" w:eastAsia="Arial" w:hAnsi="Arial"/>
                <w:sz w:val="14"/>
                <w:szCs w:val="14"/>
                <w:color w:val="auto"/>
              </w:rPr>
              <w:t>$ 0.94</w:t>
            </w:r>
          </w:p>
        </w:tc>
        <w:tc>
          <w:tcPr>
            <w:tcW w:w="7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100%</w:t>
            </w:r>
          </w:p>
        </w:tc>
        <w:tc>
          <w:tcPr>
            <w:tcW w:w="720" w:type="dxa"/>
            <w:vAlign w:val="bottom"/>
            <w:gridSpan w:val="2"/>
            <w:shd w:val="clear" w:color="auto" w:fill="E5E5E5"/>
          </w:tcPr>
          <w:p>
            <w:pPr>
              <w:jc w:val="right"/>
              <w:ind w:right="280"/>
              <w:spacing w:after="0"/>
              <w:rPr>
                <w:sz w:val="20"/>
                <w:szCs w:val="20"/>
                <w:color w:val="auto"/>
              </w:rPr>
            </w:pPr>
            <w:r>
              <w:rPr>
                <w:rFonts w:ascii="Arial" w:cs="Arial" w:eastAsia="Arial" w:hAnsi="Arial"/>
                <w:sz w:val="14"/>
                <w:szCs w:val="14"/>
                <w:color w:val="auto"/>
              </w:rPr>
              <w:t>$ 0.74</w:t>
            </w:r>
          </w:p>
        </w:tc>
        <w:tc>
          <w:tcPr>
            <w:tcW w:w="760" w:type="dxa"/>
            <w:vAlign w:val="bottom"/>
            <w:gridSpan w:val="2"/>
            <w:shd w:val="clear" w:color="auto" w:fill="E5E5E5"/>
          </w:tcPr>
          <w:p>
            <w:pPr>
              <w:jc w:val="right"/>
              <w:ind w:right="300"/>
              <w:spacing w:after="0"/>
              <w:rPr>
                <w:sz w:val="20"/>
                <w:szCs w:val="20"/>
                <w:color w:val="auto"/>
              </w:rPr>
            </w:pPr>
            <w:r>
              <w:rPr>
                <w:rFonts w:ascii="Arial" w:cs="Arial" w:eastAsia="Arial" w:hAnsi="Arial"/>
                <w:sz w:val="14"/>
                <w:szCs w:val="14"/>
                <w:color w:val="auto"/>
              </w:rPr>
              <w:t>$ 1.01</w:t>
            </w:r>
          </w:p>
        </w:tc>
        <w:tc>
          <w:tcPr>
            <w:tcW w:w="66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Weighted Payout</w:t>
            </w: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95%</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82%</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7" w:lineRule="exact"/>
        <w:rPr>
          <w:sz w:val="20"/>
          <w:szCs w:val="20"/>
          <w:color w:val="auto"/>
        </w:rPr>
      </w:pPr>
    </w:p>
    <w:p>
      <w:pPr>
        <w:ind w:left="424" w:right="180" w:hanging="424"/>
        <w:spacing w:after="0" w:line="266" w:lineRule="auto"/>
        <w:tabs>
          <w:tab w:leader="none" w:pos="4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 respect to actual bookings growth rate, as noted above, this is an internal measure that we do not disclose for several reasons, including our belief that disclosure would result in competitive harm to the Company. If the results were disclosed, we believe the information would provide competitors with insights into our operations and sales compensation programs that would be harmful to us.</w:t>
      </w:r>
    </w:p>
    <w:p>
      <w:pPr>
        <w:spacing w:after="0" w:line="166" w:lineRule="exact"/>
        <w:rPr>
          <w:sz w:val="20"/>
          <w:szCs w:val="20"/>
          <w:color w:val="auto"/>
        </w:rPr>
      </w:pPr>
    </w:p>
    <w:p>
      <w:pPr>
        <w:ind w:left="4" w:right="540" w:firstLine="440"/>
        <w:spacing w:after="0" w:line="271" w:lineRule="auto"/>
        <w:rPr>
          <w:sz w:val="20"/>
          <w:szCs w:val="20"/>
          <w:color w:val="auto"/>
        </w:rPr>
      </w:pPr>
      <w:r>
        <w:rPr>
          <w:rFonts w:ascii="Arial" w:cs="Arial" w:eastAsia="Arial" w:hAnsi="Arial"/>
          <w:sz w:val="18"/>
          <w:szCs w:val="18"/>
          <w:color w:val="auto"/>
        </w:rPr>
        <w:t>Based on the achievement against the applicable performance measures discussed above, the quarterly and aggregate actual amounts awarded to our named executive officers (other than Mr. Peters) for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FFFFFF"/>
        </w:rPr>
        <w:t>2022 Corporate Bonus Plan—Actual Award Amount</w:t>
      </w:r>
    </w:p>
    <w:p>
      <w:pPr>
        <w:spacing w:after="0" w:line="302"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2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Q1 Award</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Q2 Award</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Q3 Award</w:t>
            </w: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Q4 Award</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00" w:type="dxa"/>
            <w:vAlign w:val="bottom"/>
            <w:tcBorders>
              <w:bottom w:val="single" w:sz="8" w:color="auto"/>
            </w:tcBorders>
            <w:vMerge w:val="continue"/>
          </w:tcPr>
          <w:p>
            <w:pPr>
              <w:spacing w:after="0"/>
              <w:rPr>
                <w:sz w:val="15"/>
                <w:szCs w:val="15"/>
                <w:color w:val="auto"/>
              </w:rPr>
            </w:pPr>
          </w:p>
        </w:tc>
        <w:tc>
          <w:tcPr>
            <w:tcW w:w="4240" w:type="dxa"/>
            <w:vAlign w:val="bottom"/>
          </w:tcPr>
          <w:p>
            <w:pPr>
              <w:spacing w:after="0"/>
              <w:rPr>
                <w:sz w:val="15"/>
                <w:szCs w:val="15"/>
                <w:color w:val="auto"/>
              </w:rPr>
            </w:pPr>
          </w:p>
        </w:tc>
        <w:tc>
          <w:tcPr>
            <w:tcW w:w="9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9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1700" w:type="dxa"/>
            <w:vAlign w:val="bottom"/>
            <w:tcBorders>
              <w:top w:val="single" w:sz="8" w:color="E5E5E5"/>
            </w:tcBorders>
            <w:shd w:val="clear" w:color="auto" w:fill="E5E5E5"/>
          </w:tcPr>
          <w:p>
            <w:pPr>
              <w:spacing w:after="0" w:line="189" w:lineRule="exact"/>
              <w:rPr>
                <w:sz w:val="20"/>
                <w:szCs w:val="20"/>
                <w:color w:val="auto"/>
              </w:rPr>
            </w:pPr>
            <w:r>
              <w:rPr>
                <w:rFonts w:ascii="Arial" w:cs="Arial" w:eastAsia="Arial" w:hAnsi="Arial"/>
                <w:sz w:val="18"/>
                <w:szCs w:val="18"/>
                <w:color w:val="auto"/>
              </w:rPr>
              <w:t>Sumedh S. Thakar</w:t>
            </w:r>
          </w:p>
        </w:tc>
        <w:tc>
          <w:tcPr>
            <w:tcW w:w="4240" w:type="dxa"/>
            <w:vAlign w:val="bottom"/>
            <w:tcBorders>
              <w:top w:val="single" w:sz="8" w:color="E5E5E5"/>
            </w:tcBorders>
            <w:shd w:val="clear" w:color="auto" w:fill="E5E5E5"/>
          </w:tcPr>
          <w:p>
            <w:pPr>
              <w:spacing w:after="0"/>
              <w:rPr>
                <w:sz w:val="16"/>
                <w:szCs w:val="16"/>
                <w:color w:val="auto"/>
              </w:rPr>
            </w:pPr>
          </w:p>
        </w:tc>
        <w:tc>
          <w:tcPr>
            <w:tcW w:w="80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7"/>
              </w:rPr>
              <w:t>$ 130,139</w:t>
            </w:r>
          </w:p>
        </w:tc>
        <w:tc>
          <w:tcPr>
            <w:tcW w:w="120" w:type="dxa"/>
            <w:vAlign w:val="bottom"/>
            <w:tcBorders>
              <w:top w:val="single" w:sz="8" w:color="E5E5E5"/>
            </w:tcBorders>
            <w:shd w:val="clear" w:color="auto" w:fill="E5E5E5"/>
          </w:tcPr>
          <w:p>
            <w:pPr>
              <w:spacing w:after="0"/>
              <w:rPr>
                <w:sz w:val="16"/>
                <w:szCs w:val="16"/>
                <w:color w:val="auto"/>
              </w:rPr>
            </w:pPr>
          </w:p>
        </w:tc>
        <w:tc>
          <w:tcPr>
            <w:tcW w:w="140" w:type="dxa"/>
            <w:vAlign w:val="bottom"/>
            <w:tcBorders>
              <w:top w:val="single" w:sz="8" w:color="E5E5E5"/>
            </w:tcBorders>
            <w:shd w:val="clear" w:color="auto" w:fill="E5E5E5"/>
          </w:tcPr>
          <w:p>
            <w:pPr>
              <w:spacing w:after="0"/>
              <w:rPr>
                <w:sz w:val="16"/>
                <w:szCs w:val="16"/>
                <w:color w:val="auto"/>
              </w:rPr>
            </w:pPr>
          </w:p>
        </w:tc>
        <w:tc>
          <w:tcPr>
            <w:tcW w:w="80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7"/>
              </w:rPr>
              <w:t>$ 137,500</w:t>
            </w:r>
          </w:p>
        </w:tc>
        <w:tc>
          <w:tcPr>
            <w:tcW w:w="260" w:type="dxa"/>
            <w:vAlign w:val="bottom"/>
            <w:tcBorders>
              <w:top w:val="single" w:sz="8" w:color="E5E5E5"/>
            </w:tcBorders>
            <w:shd w:val="clear" w:color="auto" w:fill="E5E5E5"/>
          </w:tcPr>
          <w:p>
            <w:pPr>
              <w:spacing w:after="0"/>
              <w:rPr>
                <w:sz w:val="16"/>
                <w:szCs w:val="16"/>
                <w:color w:val="auto"/>
              </w:rPr>
            </w:pPr>
          </w:p>
        </w:tc>
        <w:tc>
          <w:tcPr>
            <w:tcW w:w="80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7"/>
              </w:rPr>
              <w:t>$ 112,354</w:t>
            </w:r>
          </w:p>
        </w:tc>
        <w:tc>
          <w:tcPr>
            <w:tcW w:w="140" w:type="dxa"/>
            <w:vAlign w:val="bottom"/>
            <w:tcBorders>
              <w:top w:val="single" w:sz="8" w:color="E5E5E5"/>
            </w:tcBorders>
            <w:shd w:val="clear" w:color="auto" w:fill="E5E5E5"/>
          </w:tcPr>
          <w:p>
            <w:pPr>
              <w:spacing w:after="0"/>
              <w:rPr>
                <w:sz w:val="16"/>
                <w:szCs w:val="16"/>
                <w:color w:val="auto"/>
              </w:rPr>
            </w:pPr>
          </w:p>
        </w:tc>
        <w:tc>
          <w:tcPr>
            <w:tcW w:w="140" w:type="dxa"/>
            <w:vAlign w:val="bottom"/>
            <w:tcBorders>
              <w:top w:val="single" w:sz="8" w:color="E5E5E5"/>
            </w:tcBorders>
            <w:shd w:val="clear" w:color="auto" w:fill="E5E5E5"/>
          </w:tcPr>
          <w:p>
            <w:pPr>
              <w:spacing w:after="0"/>
              <w:rPr>
                <w:sz w:val="16"/>
                <w:szCs w:val="16"/>
                <w:color w:val="auto"/>
              </w:rPr>
            </w:pPr>
          </w:p>
        </w:tc>
        <w:tc>
          <w:tcPr>
            <w:tcW w:w="7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$ 87,577</w:t>
            </w:r>
          </w:p>
        </w:tc>
        <w:tc>
          <w:tcPr>
            <w:tcW w:w="260" w:type="dxa"/>
            <w:vAlign w:val="bottom"/>
            <w:tcBorders>
              <w:top w:val="single" w:sz="8" w:color="E5E5E5"/>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$ 467,570</w:t>
            </w:r>
          </w:p>
        </w:tc>
        <w:tc>
          <w:tcPr>
            <w:tcW w:w="80" w:type="dxa"/>
            <w:vAlign w:val="bottom"/>
            <w:tcBorders>
              <w:top w:val="single" w:sz="8" w:color="E5E5E5"/>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Joo Mi Kim</w:t>
            </w:r>
          </w:p>
        </w:tc>
        <w:tc>
          <w:tcPr>
            <w:tcW w:w="51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48,506</w:t>
            </w:r>
          </w:p>
        </w:tc>
        <w:tc>
          <w:tcPr>
            <w:tcW w:w="12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51,250</w:t>
            </w: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41,878</w:t>
            </w:r>
          </w:p>
        </w:tc>
        <w:tc>
          <w:tcPr>
            <w:tcW w:w="11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32,642</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174,276</w:t>
            </w:r>
          </w:p>
        </w:tc>
        <w:tc>
          <w:tcPr>
            <w:tcW w:w="0" w:type="dxa"/>
            <w:vAlign w:val="bottom"/>
          </w:tcPr>
          <w:p>
            <w:pPr>
              <w:spacing w:after="0"/>
              <w:rPr>
                <w:sz w:val="1"/>
                <w:szCs w:val="1"/>
                <w:color w:val="auto"/>
              </w:rPr>
            </w:pPr>
          </w:p>
        </w:tc>
      </w:tr>
      <w:tr>
        <w:trPr>
          <w:trHeight w:val="203"/>
        </w:trPr>
        <w:tc>
          <w:tcPr>
            <w:tcW w:w="1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Bruce K. Posey</w:t>
            </w:r>
          </w:p>
        </w:tc>
        <w:tc>
          <w:tcPr>
            <w:tcW w:w="516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42,591</w:t>
            </w:r>
          </w:p>
        </w:tc>
        <w:tc>
          <w:tcPr>
            <w:tcW w:w="1200" w:type="dxa"/>
            <w:vAlign w:val="bottom"/>
            <w:gridSpan w:val="3"/>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45,000</w:t>
            </w: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36,770</w:t>
            </w:r>
          </w:p>
        </w:tc>
        <w:tc>
          <w:tcPr>
            <w:tcW w:w="1120" w:type="dxa"/>
            <w:vAlign w:val="bottom"/>
            <w:gridSpan w:val="3"/>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28,662</w:t>
            </w:r>
          </w:p>
        </w:tc>
        <w:tc>
          <w:tcPr>
            <w:tcW w:w="9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153,023</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24"/>
        <w:spacing w:after="0"/>
        <w:rPr>
          <w:sz w:val="20"/>
          <w:szCs w:val="20"/>
          <w:color w:val="auto"/>
        </w:rPr>
      </w:pPr>
      <w:r>
        <w:rPr>
          <w:rFonts w:ascii="Arial" w:cs="Arial" w:eastAsia="Arial" w:hAnsi="Arial"/>
          <w:sz w:val="18"/>
          <w:szCs w:val="18"/>
          <w:i w:val="1"/>
          <w:iCs w:val="1"/>
          <w:color w:val="auto"/>
        </w:rPr>
        <w:t>Sales Incentive Compensation Plan</w:t>
      </w:r>
    </w:p>
    <w:p>
      <w:pPr>
        <w:spacing w:after="0" w:line="102" w:lineRule="exact"/>
        <w:rPr>
          <w:sz w:val="20"/>
          <w:szCs w:val="20"/>
          <w:color w:val="auto"/>
        </w:rPr>
      </w:pPr>
    </w:p>
    <w:p>
      <w:pPr>
        <w:ind w:left="4" w:right="720" w:firstLine="440"/>
        <w:spacing w:after="0" w:line="271" w:lineRule="auto"/>
        <w:rPr>
          <w:sz w:val="20"/>
          <w:szCs w:val="20"/>
          <w:color w:val="auto"/>
        </w:rPr>
      </w:pPr>
      <w:r>
        <w:rPr>
          <w:rFonts w:ascii="Arial" w:cs="Arial" w:eastAsia="Arial" w:hAnsi="Arial"/>
          <w:sz w:val="18"/>
          <w:szCs w:val="18"/>
          <w:color w:val="auto"/>
        </w:rPr>
        <w:t>Since Mr. Peters’ responsibilities are based primarily on his ability to drive sales, his non-equity incentive plan compensation opportunity was provided under our Sales Incentive Compensation Plan</w:t>
      </w:r>
    </w:p>
    <w:p>
      <w:pPr>
        <w:spacing w:after="0" w:line="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4"/>
          </w:cols>
          <w:pgMar w:left="436" w:top="296" w:right="439" w:bottom="1440" w:gutter="0" w:footer="0" w:header="0"/>
        </w:sectPr>
      </w:pPr>
    </w:p>
    <w:bookmarkStart w:id="42" w:name="page43"/>
    <w:bookmarkEnd w:id="42"/>
    <w:p>
      <w:pPr>
        <w:ind w:right="2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instead of our 2022 Corporate Bonus Plan. Mr. Peters had a target sales incentive compensation opportunity under our Sales Incentive Compensation Plan equal to 100% of his base salary.</w:t>
      </w:r>
    </w:p>
    <w:p>
      <w:pPr>
        <w:spacing w:after="0" w:line="154" w:lineRule="exact"/>
        <w:rPr>
          <w:sz w:val="20"/>
          <w:szCs w:val="20"/>
          <w:color w:val="auto"/>
        </w:rPr>
      </w:pPr>
    </w:p>
    <w:p>
      <w:pPr>
        <w:ind w:right="220" w:firstLine="440"/>
        <w:spacing w:after="0" w:line="247" w:lineRule="auto"/>
        <w:rPr>
          <w:sz w:val="20"/>
          <w:szCs w:val="20"/>
          <w:color w:val="auto"/>
        </w:rPr>
      </w:pPr>
      <w:r>
        <w:rPr>
          <w:rFonts w:ascii="Arial" w:cs="Arial" w:eastAsia="Arial" w:hAnsi="Arial"/>
          <w:sz w:val="18"/>
          <w:szCs w:val="18"/>
          <w:color w:val="auto"/>
        </w:rPr>
        <w:t>As a participant in our Sales Incentive Compensation Plan, Mr. Peters had the opportunity to receive quarterly payments based on the year-over-year growth in our year-to-date new bookings (which was weighted 60%) and upsell bookings (which was weighted 40%). Our Compensation and Talent Committee decided that these two metrics and this weighting best supported our short-term sales goals given our focus on new customer acquisition.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two bookings metrics under our Sales Incentive Compensation Plan were calculated as follows:</w:t>
      </w:r>
    </w:p>
    <w:p>
      <w:pPr>
        <w:spacing w:after="0" w:line="117" w:lineRule="exact"/>
        <w:rPr>
          <w:sz w:val="20"/>
          <w:szCs w:val="20"/>
          <w:color w:val="auto"/>
        </w:rPr>
      </w:pPr>
    </w:p>
    <w:p>
      <w:pPr>
        <w:ind w:left="960" w:hanging="424"/>
        <w:spacing w:after="0" w:line="253"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bookings was calculated as the sum of subscribed revenues for all subscriptions contracted (in the quarter) by customers that either had never previously purchased a Qualys product, license, or service or had neither been under contract nor purchased or received any Qualys product, license, or service for 12 months.</w:t>
      </w:r>
    </w:p>
    <w:p>
      <w:pPr>
        <w:spacing w:after="0" w:line="74" w:lineRule="exact"/>
        <w:rPr>
          <w:rFonts w:ascii="Arial" w:cs="Arial" w:eastAsia="Arial" w:hAnsi="Arial"/>
          <w:sz w:val="18"/>
          <w:szCs w:val="18"/>
          <w:color w:val="auto"/>
        </w:rPr>
      </w:pPr>
    </w:p>
    <w:p>
      <w:pPr>
        <w:ind w:left="960" w:right="140" w:hanging="424"/>
        <w:spacing w:after="0" w:line="244"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Upsell bookings was calculated as the sum of (i) the subscribed revenues added (in the quarter) before the term of existing contracts and (ii) the incremental subscribed revenues exceeding the subscribed revenues of the original contracts that were being renewed in the quarter (i.e., the total subscribed revenues minus the subscribed revenues that result from the customers’ renewed or extended commitments to pay subscription fees for Qualys’ services that were provided to the customers under their prior or existing contracts).</w:t>
      </w:r>
    </w:p>
    <w:p>
      <w:pPr>
        <w:spacing w:after="0" w:line="176"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For each metric, the subscribed revenues were based on the amount of subscription contracted if the term is one year or less and were capped at one year’s worth of subscribed revenues if the subscription term exceeds one year. The measures were internal measures and are non-GAAP financial measures.</w:t>
      </w:r>
    </w:p>
    <w:p>
      <w:pPr>
        <w:spacing w:after="0" w:line="169" w:lineRule="exact"/>
        <w:rPr>
          <w:sz w:val="20"/>
          <w:szCs w:val="20"/>
          <w:color w:val="auto"/>
        </w:rPr>
      </w:pPr>
    </w:p>
    <w:p>
      <w:pPr>
        <w:ind w:right="160" w:firstLine="440"/>
        <w:spacing w:after="0" w:line="244" w:lineRule="auto"/>
        <w:rPr>
          <w:sz w:val="20"/>
          <w:szCs w:val="20"/>
          <w:color w:val="auto"/>
        </w:rPr>
      </w:pPr>
      <w:r>
        <w:rPr>
          <w:rFonts w:ascii="Arial" w:cs="Arial" w:eastAsia="Arial" w:hAnsi="Arial"/>
          <w:sz w:val="18"/>
          <w:szCs w:val="18"/>
          <w:color w:val="auto"/>
        </w:rPr>
        <w:t>Mr. Peters’ sales incentive compensation as of the end of each quarter of 2022 was calculated as a percentage of his target sales incentive compensation amount based on the weighted average of the payout percentages for each applicable measure. For each of the two measures, the payout percentage was capped at 200% of target. Our Compensation and Talent Committee believed that achieving the top end of the targets would be sufficiently challenging and incentivize top-end performance. The amount of sales incentive compensation could be zero if performance is below minimum levels for both measures.</w:t>
      </w:r>
    </w:p>
    <w:p>
      <w:pPr>
        <w:spacing w:after="0" w:line="176" w:lineRule="exact"/>
        <w:rPr>
          <w:sz w:val="20"/>
          <w:szCs w:val="20"/>
          <w:color w:val="auto"/>
        </w:rPr>
      </w:pPr>
    </w:p>
    <w:p>
      <w:pPr>
        <w:ind w:right="60" w:firstLine="440"/>
        <w:spacing w:after="0" w:line="244" w:lineRule="auto"/>
        <w:rPr>
          <w:sz w:val="20"/>
          <w:szCs w:val="20"/>
          <w:color w:val="auto"/>
        </w:rPr>
      </w:pPr>
      <w:r>
        <w:rPr>
          <w:rFonts w:ascii="Arial" w:cs="Arial" w:eastAsia="Arial" w:hAnsi="Arial"/>
          <w:sz w:val="18"/>
          <w:szCs w:val="18"/>
          <w:color w:val="auto"/>
        </w:rPr>
        <w:t>Based on the achievement against the applicable performance measures under our Sales Incentive Compensation Plan for 2022, the amount of Mr. Peters’ sales incentive compensation calculated as of the end of each quarter of 2022 was (i) $17,680 for the year-to-date Q1 (payout of 22%), (ii) $57,883 for the year-to-date Q2 (payout of 36%), (iii) $20,573 for the year-to-date Q3 (payout of 8%), and (iv) $0 for the full year 2022 due to achievement below minimum levels for both measures. Hence, Mr. Peters did not receive commissions payments for the full year 2022.</w:t>
      </w:r>
    </w:p>
    <w:p>
      <w:pPr>
        <w:spacing w:after="0" w:line="176" w:lineRule="exact"/>
        <w:rPr>
          <w:sz w:val="20"/>
          <w:szCs w:val="20"/>
          <w:color w:val="auto"/>
        </w:rPr>
      </w:pPr>
    </w:p>
    <w:p>
      <w:pPr>
        <w:jc w:val="both"/>
        <w:ind w:right="160" w:firstLine="440"/>
        <w:spacing w:after="0" w:line="247" w:lineRule="auto"/>
        <w:rPr>
          <w:sz w:val="20"/>
          <w:szCs w:val="20"/>
          <w:color w:val="auto"/>
        </w:rPr>
      </w:pPr>
      <w:r>
        <w:rPr>
          <w:rFonts w:ascii="Arial" w:cs="Arial" w:eastAsia="Arial" w:hAnsi="Arial"/>
          <w:sz w:val="18"/>
          <w:szCs w:val="18"/>
          <w:color w:val="auto"/>
        </w:rPr>
        <w:t>With respect to the actual new bookings and upsell bookings growth rates, as noted above, these are internal measures that we do not disclose for several reasons, including our belief that disclosure would result in competitive harm to the Company. If the results were disclosed, we believe the information would provide competitors with insights into our operations and sales compensation programs that would be harmful to us.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02"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We use equity awards to incentivize and reward strong long-term corporate performance and to align the interests of our named executive officers with those of our stockholders. Continuing the practice we introduced in 2021 based on feedback from our stockholders, the equity awards we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96" w:right="459" w:bottom="1440" w:gutter="0" w:footer="0" w:header="0"/>
        </w:sectPr>
      </w:pPr>
    </w:p>
    <w:bookmarkStart w:id="43" w:name="page44"/>
    <w:bookmarkEnd w:id="43"/>
    <w:p>
      <w:pPr>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granted to all of our named executive officers in 2022 were a mix of time-based restricted stock units (“RSUs”) and performance-based restricted stock units (“PRSUs”). RSUs serve to retain our named executive officers over the long-term and align with our objective of long-term stockholder value creation. PRSUs drive long-term stockholder value creation and more strongly aligns our named executive officers’ interests with the interests of the Company and its stockholders. The PRSUs will provide significant value to our named executive officers only if the Company achieves specific operational goals since the PRSUs will vest only if these goals are achieved.</w:t>
      </w:r>
    </w:p>
    <w:p>
      <w:pPr>
        <w:spacing w:after="0" w:line="176" w:lineRule="exact"/>
        <w:rPr>
          <w:sz w:val="20"/>
          <w:szCs w:val="20"/>
          <w:color w:val="auto"/>
        </w:rPr>
      </w:pPr>
    </w:p>
    <w:p>
      <w:pPr>
        <w:jc w:val="both"/>
        <w:ind w:firstLine="440"/>
        <w:spacing w:after="0" w:line="247" w:lineRule="auto"/>
        <w:rPr>
          <w:sz w:val="20"/>
          <w:szCs w:val="20"/>
          <w:color w:val="auto"/>
        </w:rPr>
      </w:pPr>
      <w:r>
        <w:rPr>
          <w:rFonts w:ascii="Arial" w:cs="Arial" w:eastAsia="Arial" w:hAnsi="Arial"/>
          <w:sz w:val="18"/>
          <w:szCs w:val="18"/>
          <w:color w:val="auto"/>
        </w:rPr>
        <w:t>Each year, we evaluate granting equity awards to our named executive officers to provide additional incentive to continue providing services to us. When determining the size of these equity awards, we generally do not apply a fixed formula. Instead, we aim to maximize long-term stockholder value by granting an amount of equity that properly rewards the named executive officer for his or her contribution to the growth in such value. We consider factors such as:</w:t>
      </w:r>
    </w:p>
    <w:p>
      <w:pPr>
        <w:spacing w:after="0" w:line="79" w:lineRule="exact"/>
        <w:rPr>
          <w:sz w:val="20"/>
          <w:szCs w:val="20"/>
          <w:color w:val="auto"/>
        </w:rPr>
      </w:pPr>
    </w:p>
    <w:p>
      <w:pPr>
        <w:ind w:left="960" w:hanging="4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named executive officer’s performance, contributions, responsibilities, and experience;</w:t>
      </w:r>
    </w:p>
    <w:p>
      <w:pPr>
        <w:spacing w:after="0" w:line="117" w:lineRule="exact"/>
        <w:rPr>
          <w:rFonts w:ascii="Arial" w:cs="Arial" w:eastAsia="Arial" w:hAnsi="Arial"/>
          <w:sz w:val="18"/>
          <w:szCs w:val="18"/>
          <w:color w:val="auto"/>
        </w:rPr>
      </w:pPr>
    </w:p>
    <w:p>
      <w:pPr>
        <w:ind w:left="960" w:right="360" w:hanging="424"/>
        <w:spacing w:after="0" w:line="271"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equity held by the named executive officer (including the economic value of his or her unvested equity awards and the ability of this equity to satisfy our retention objectives);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compensation analysis performed by our human resources department and/or our independent compensation consultant;</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compensation peer group and market data provided by our independent compensation consultant;</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equity award recommendations of management (except with respect to their own equity awards);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internal equity considerations.</w:t>
      </w:r>
    </w:p>
    <w:p>
      <w:pPr>
        <w:spacing w:after="0" w:line="212"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We also periodically grant equity awards to new executive hires or in connection with a promotion and to recognize corporate and individual performance. The size of equity awards granted to our named executive officers in connection with their hire is determined through arm’s-length negotiation. We consider factors such as the named executive officer’s prospective role and responsibilities, the cash compensation the named executive officer is expected to receive, the potential incentive and retention value of the award, and the prevailing market conditions.</w:t>
      </w:r>
    </w:p>
    <w:p>
      <w:pPr>
        <w:spacing w:after="0" w:line="176" w:lineRule="exact"/>
        <w:rPr>
          <w:sz w:val="20"/>
          <w:szCs w:val="20"/>
          <w:color w:val="auto"/>
        </w:rPr>
      </w:pPr>
    </w:p>
    <w:p>
      <w:pPr>
        <w:ind w:right="1080" w:firstLine="440"/>
        <w:spacing w:after="0" w:line="271" w:lineRule="auto"/>
        <w:rPr>
          <w:sz w:val="20"/>
          <w:szCs w:val="20"/>
          <w:color w:val="auto"/>
        </w:rPr>
      </w:pPr>
      <w:r>
        <w:rPr>
          <w:rFonts w:ascii="Arial" w:cs="Arial" w:eastAsia="Arial" w:hAnsi="Arial"/>
          <w:sz w:val="18"/>
          <w:szCs w:val="18"/>
          <w:color w:val="auto"/>
        </w:rPr>
        <w:t>The equity awards granted to our named executive officers in 2022 are set forth in the sections entitled “</w:t>
      </w:r>
      <w:r>
        <w:rPr>
          <w:rFonts w:ascii="Arial" w:cs="Arial" w:eastAsia="Arial" w:hAnsi="Arial"/>
          <w:sz w:val="18"/>
          <w:szCs w:val="18"/>
          <w:i w:val="1"/>
          <w:iCs w:val="1"/>
          <w:color w:val="auto"/>
        </w:rPr>
        <w:t>2022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and “</w:t>
      </w:r>
      <w:r>
        <w:rPr>
          <w:rFonts w:ascii="Arial" w:cs="Arial" w:eastAsia="Arial" w:hAnsi="Arial"/>
          <w:sz w:val="18"/>
          <w:szCs w:val="18"/>
          <w:i w:val="1"/>
          <w:iCs w:val="1"/>
          <w:color w:val="auto"/>
        </w:rPr>
        <w:t>Grants of Plan-Based Awards in 2022 Table</w:t>
      </w:r>
      <w:r>
        <w:rPr>
          <w:rFonts w:ascii="Arial" w:cs="Arial" w:eastAsia="Arial" w:hAnsi="Arial"/>
          <w:sz w:val="18"/>
          <w:szCs w:val="18"/>
          <w:color w:val="auto"/>
        </w:rPr>
        <w:t>” below.</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Equity Grants</w:t>
      </w:r>
    </w:p>
    <w:p>
      <w:pPr>
        <w:spacing w:after="0" w:line="102" w:lineRule="exact"/>
        <w:rPr>
          <w:sz w:val="20"/>
          <w:szCs w:val="20"/>
          <w:color w:val="auto"/>
        </w:rPr>
      </w:pPr>
    </w:p>
    <w:p>
      <w:pPr>
        <w:ind w:right="280" w:firstLine="440"/>
        <w:spacing w:after="0" w:line="271" w:lineRule="auto"/>
        <w:rPr>
          <w:sz w:val="20"/>
          <w:szCs w:val="20"/>
          <w:color w:val="auto"/>
        </w:rPr>
      </w:pPr>
      <w:r>
        <w:rPr>
          <w:rFonts w:ascii="Arial" w:cs="Arial" w:eastAsia="Arial" w:hAnsi="Arial"/>
          <w:sz w:val="18"/>
          <w:szCs w:val="18"/>
          <w:color w:val="auto"/>
        </w:rPr>
        <w:t>The annual equity grants to our named executive officers for 2022 consisted of a mix of RSUs and PRSUs. Our board of directors approved these annual equity grants to our named executive officers in October 2022.</w:t>
      </w:r>
    </w:p>
    <w:p>
      <w:pPr>
        <w:spacing w:after="0" w:line="15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The RSUs granted to our named executive officers vest over four years and serve to retain our named executive officers over a long-term period and align with our objective of long-term stockholder value creation. The vesting of the RSUs is subject to the applicable named executive officer’s continued service with us as of each vesting date.</w:t>
      </w:r>
    </w:p>
    <w:p>
      <w:pPr>
        <w:spacing w:after="0" w:line="169" w:lineRule="exact"/>
        <w:rPr>
          <w:sz w:val="20"/>
          <w:szCs w:val="20"/>
          <w:color w:val="auto"/>
        </w:rPr>
      </w:pPr>
    </w:p>
    <w:p>
      <w:pPr>
        <w:ind w:right="360" w:firstLine="440"/>
        <w:spacing w:after="0" w:line="253" w:lineRule="auto"/>
        <w:rPr>
          <w:sz w:val="20"/>
          <w:szCs w:val="20"/>
          <w:color w:val="auto"/>
        </w:rPr>
      </w:pPr>
      <w:r>
        <w:rPr>
          <w:rFonts w:ascii="Arial" w:cs="Arial" w:eastAsia="Arial" w:hAnsi="Arial"/>
          <w:sz w:val="18"/>
          <w:szCs w:val="18"/>
          <w:color w:val="auto"/>
        </w:rPr>
        <w:t>Each named executive officer’s PRSUs are divided into three tranches with one-year performance periods covering the calendar years 2023, 2024, and 2025, respectively. One-third of the target number of PRSUs is allocated to each tranche. Each tranche will become eligible to vest based on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96" w:right="459" w:bottom="1440" w:gutter="0" w:footer="0" w:header="0"/>
        </w:sectPr>
      </w:pPr>
    </w:p>
    <w:bookmarkStart w:id="44" w:name="page45"/>
    <w:bookmarkEnd w:id="44"/>
    <w:p>
      <w:pPr>
        <w:ind w:right="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annual growth rate of the Company’s revenues and the Company’s adjusted EBITDA margin for the applicable performance period. These two metrics were calculated as follows:</w:t>
      </w:r>
    </w:p>
    <w:p>
      <w:pPr>
        <w:spacing w:after="0" w:line="59" w:lineRule="exact"/>
        <w:rPr>
          <w:sz w:val="20"/>
          <w:szCs w:val="20"/>
          <w:color w:val="auto"/>
        </w:rPr>
      </w:pPr>
    </w:p>
    <w:p>
      <w:pPr>
        <w:ind w:left="960" w:right="480" w:hanging="424"/>
        <w:spacing w:after="0" w:line="271"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Revenues was determined in accordance with GAAP in effect on the date of grant, subject to adjustments to exclude the effects of acquisitions and/or dispositions during the performance period.</w:t>
      </w:r>
    </w:p>
    <w:p>
      <w:pPr>
        <w:spacing w:after="0" w:line="59" w:lineRule="exact"/>
        <w:rPr>
          <w:rFonts w:ascii="Arial" w:cs="Arial" w:eastAsia="Arial" w:hAnsi="Arial"/>
          <w:sz w:val="18"/>
          <w:szCs w:val="18"/>
          <w:color w:val="auto"/>
        </w:rPr>
      </w:pPr>
    </w:p>
    <w:p>
      <w:pPr>
        <w:ind w:left="960" w:right="60" w:hanging="424"/>
        <w:spacing w:after="0" w:line="241"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margin was calculated as (i) net income (loss) for the performance period before (A) other (income) expense, net, which includes interest income, interest expense and other income and expense, (B) provision for (benefit from) income taxes, (C) depreciation and amortization of property and equipment, (D) amortization of intangible assets, and</w:t>
      </w:r>
    </w:p>
    <w:p>
      <w:pPr>
        <w:spacing w:after="0" w:line="1" w:lineRule="exact"/>
        <w:rPr>
          <w:rFonts w:ascii="Arial" w:cs="Arial" w:eastAsia="Arial" w:hAnsi="Arial"/>
          <w:sz w:val="18"/>
          <w:szCs w:val="18"/>
          <w:color w:val="auto"/>
        </w:rPr>
      </w:pPr>
    </w:p>
    <w:p>
      <w:pPr>
        <w:ind w:left="960" w:right="440"/>
        <w:spacing w:after="0" w:line="250" w:lineRule="auto"/>
        <w:rPr>
          <w:rFonts w:ascii="Arial" w:cs="Arial" w:eastAsia="Arial" w:hAnsi="Arial"/>
          <w:sz w:val="18"/>
          <w:szCs w:val="18"/>
          <w:color w:val="auto"/>
        </w:rPr>
      </w:pPr>
      <w:r>
        <w:rPr>
          <w:rFonts w:ascii="Arial" w:cs="Arial" w:eastAsia="Arial" w:hAnsi="Arial"/>
          <w:sz w:val="18"/>
          <w:szCs w:val="18"/>
          <w:color w:val="auto"/>
        </w:rPr>
        <w:t>(E) stock-based compensation, divided by (ii) revenues for the performance period, subject to adjustments to exclude the effects of acquisitions and/or dispositions during the performance period.</w:t>
      </w:r>
    </w:p>
    <w:p>
      <w:pPr>
        <w:spacing w:after="0" w:line="172" w:lineRule="exact"/>
        <w:rPr>
          <w:sz w:val="20"/>
          <w:szCs w:val="20"/>
          <w:color w:val="auto"/>
        </w:rPr>
      </w:pPr>
    </w:p>
    <w:p>
      <w:pPr>
        <w:ind w:right="140" w:firstLine="440"/>
        <w:spacing w:after="0" w:line="253" w:lineRule="auto"/>
        <w:rPr>
          <w:sz w:val="20"/>
          <w:szCs w:val="20"/>
          <w:color w:val="auto"/>
        </w:rPr>
      </w:pPr>
      <w:r>
        <w:rPr>
          <w:rFonts w:ascii="Arial" w:cs="Arial" w:eastAsia="Arial" w:hAnsi="Arial"/>
          <w:sz w:val="18"/>
          <w:szCs w:val="18"/>
          <w:color w:val="auto"/>
        </w:rPr>
        <w:t>The revenue growth and adjusted EBITDA margin targets for the second and third tranches will be based on the Company’s annual operating plan for the applicable year, which will be determined by our board of directors before or shortly after the beginning of the applicable year.</w:t>
      </w:r>
    </w:p>
    <w:p>
      <w:pPr>
        <w:spacing w:after="0" w:line="169" w:lineRule="exact"/>
        <w:rPr>
          <w:sz w:val="20"/>
          <w:szCs w:val="20"/>
          <w:color w:val="auto"/>
        </w:rPr>
      </w:pPr>
    </w:p>
    <w:p>
      <w:pPr>
        <w:ind w:right="520" w:firstLine="440"/>
        <w:spacing w:after="0" w:line="271" w:lineRule="auto"/>
        <w:rPr>
          <w:sz w:val="20"/>
          <w:szCs w:val="20"/>
          <w:color w:val="auto"/>
        </w:rPr>
      </w:pPr>
      <w:r>
        <w:rPr>
          <w:rFonts w:ascii="Arial" w:cs="Arial" w:eastAsia="Arial" w:hAnsi="Arial"/>
          <w:sz w:val="18"/>
          <w:szCs w:val="18"/>
          <w:color w:val="auto"/>
        </w:rPr>
        <w:t>Any PRSUs that become eligible to vest will be scheduled to vest according to the following schedule, subject to the applicable named executive officer’s continued service through the applicable vesting date:</w:t>
      </w:r>
    </w:p>
    <w:p>
      <w:pPr>
        <w:spacing w:after="0" w:line="59" w:lineRule="exact"/>
        <w:rPr>
          <w:sz w:val="20"/>
          <w:szCs w:val="20"/>
          <w:color w:val="auto"/>
        </w:rPr>
      </w:pPr>
    </w:p>
    <w:p>
      <w:pPr>
        <w:ind w:left="960" w:right="360" w:hanging="424"/>
        <w:spacing w:after="0" w:line="253"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first and second tranches, up to 100% of the target number of PRSUs allocated to the tranche will vest on the date that performance is certified for that tranche, and any remaining PRSUs that became eligible to vest (“Overperformance Amount”) will vest on the date that performance is certified for the third tranche.</w:t>
      </w:r>
    </w:p>
    <w:p>
      <w:pPr>
        <w:spacing w:after="0" w:line="74" w:lineRule="exact"/>
        <w:rPr>
          <w:rFonts w:ascii="Arial" w:cs="Arial" w:eastAsia="Arial" w:hAnsi="Arial"/>
          <w:sz w:val="18"/>
          <w:szCs w:val="18"/>
          <w:color w:val="auto"/>
        </w:rPr>
      </w:pPr>
    </w:p>
    <w:p>
      <w:pPr>
        <w:ind w:left="960" w:right="280" w:hanging="424"/>
        <w:spacing w:after="0" w:line="271"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third tranche, all of the PRSUs that became eligible to vest will vest on the date that performance is certified for that tranche.</w:t>
      </w:r>
    </w:p>
    <w:p>
      <w:pPr>
        <w:spacing w:after="0" w:line="154" w:lineRule="exact"/>
        <w:rPr>
          <w:sz w:val="20"/>
          <w:szCs w:val="20"/>
          <w:color w:val="auto"/>
        </w:rPr>
      </w:pPr>
    </w:p>
    <w:p>
      <w:pPr>
        <w:ind w:right="260" w:firstLine="440"/>
        <w:spacing w:after="0" w:line="247" w:lineRule="auto"/>
        <w:rPr>
          <w:sz w:val="20"/>
          <w:szCs w:val="20"/>
          <w:color w:val="auto"/>
        </w:rPr>
      </w:pPr>
      <w:r>
        <w:rPr>
          <w:rFonts w:ascii="Arial" w:cs="Arial" w:eastAsia="Arial" w:hAnsi="Arial"/>
          <w:sz w:val="18"/>
          <w:szCs w:val="18"/>
          <w:color w:val="auto"/>
        </w:rPr>
        <w:t>In designing the vesting structure of these PRSUs, our Compensation and Talent Committee sought to balance the short-term and long-term incentive and retention aspects of the PRSUs, by allowing the named executive officers to vest in up to the target number of PRSUs each year but requiring continued service for approximately 3 years in order to vest in any excess number of PRSUs that are earned based on over-achievement of the performance goals.</w:t>
      </w:r>
    </w:p>
    <w:p>
      <w:pPr>
        <w:spacing w:after="0" w:line="174" w:lineRule="exact"/>
        <w:rPr>
          <w:sz w:val="20"/>
          <w:szCs w:val="20"/>
          <w:color w:val="auto"/>
        </w:rPr>
      </w:pPr>
    </w:p>
    <w:p>
      <w:pPr>
        <w:ind w:right="60" w:firstLine="440"/>
        <w:spacing w:after="0" w:line="271" w:lineRule="auto"/>
        <w:rPr>
          <w:sz w:val="20"/>
          <w:szCs w:val="20"/>
          <w:color w:val="auto"/>
        </w:rPr>
      </w:pPr>
      <w:r>
        <w:rPr>
          <w:rFonts w:ascii="Arial" w:cs="Arial" w:eastAsia="Arial" w:hAnsi="Arial"/>
          <w:sz w:val="18"/>
          <w:szCs w:val="18"/>
          <w:color w:val="auto"/>
        </w:rPr>
        <w:t>In addition, the vesting of these RSUs and PRSUs would accelerate upon the occurrence of certain specified events, as described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pacing w:after="0" w:line="154" w:lineRule="exact"/>
        <w:rPr>
          <w:sz w:val="20"/>
          <w:szCs w:val="20"/>
          <w:color w:val="auto"/>
        </w:rPr>
      </w:pPr>
    </w:p>
    <w:p>
      <w:pPr>
        <w:ind w:right="60" w:firstLine="440"/>
        <w:spacing w:after="0" w:line="271" w:lineRule="auto"/>
        <w:rPr>
          <w:sz w:val="20"/>
          <w:szCs w:val="20"/>
          <w:color w:val="auto"/>
        </w:rPr>
      </w:pPr>
      <w:r>
        <w:rPr>
          <w:rFonts w:ascii="Arial" w:cs="Arial" w:eastAsia="Arial" w:hAnsi="Arial"/>
          <w:sz w:val="18"/>
          <w:szCs w:val="18"/>
          <w:color w:val="auto"/>
        </w:rPr>
        <w:t>The number of shares of our common stock covered by the RSUs and PRSUs and their intended value at the time of grant are listed in the table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Intended</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Intended</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Intended Value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PRSUs at</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PRSUs at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 of</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 of</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PRSUs at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PRSUs at</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58"/>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80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Time-Based</w:t>
            </w: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Time-Based</w:t>
            </w:r>
          </w:p>
        </w:tc>
        <w:tc>
          <w:tcPr>
            <w:tcW w:w="13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rPr>
              <w:t>Target Level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9"/>
              </w:rPr>
              <w:t>Target Level</w:t>
            </w: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Level of</w:t>
            </w:r>
          </w:p>
        </w:tc>
        <w:tc>
          <w:tcPr>
            <w:tcW w:w="120" w:type="dxa"/>
            <w:vAlign w:val="bottom"/>
          </w:tcPr>
          <w:p>
            <w:pPr>
              <w:spacing w:after="0"/>
              <w:rPr>
                <w:sz w:val="13"/>
                <w:szCs w:val="13"/>
                <w:color w:val="auto"/>
              </w:rPr>
            </w:pPr>
          </w:p>
        </w:tc>
        <w:tc>
          <w:tcPr>
            <w:tcW w:w="10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rPr>
              <w:t>Level of</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1800" w:type="dxa"/>
            <w:vAlign w:val="bottom"/>
          </w:tcPr>
          <w:p>
            <w:pPr>
              <w:spacing w:after="0"/>
              <w:rPr>
                <w:sz w:val="15"/>
                <w:szCs w:val="15"/>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3"/>
                <w:szCs w:val="13"/>
                <w:b w:val="1"/>
                <w:bCs w:val="1"/>
                <w:color w:val="auto"/>
              </w:rPr>
              <w:t>RSUs</w:t>
            </w:r>
            <w:r>
              <w:rPr>
                <w:rFonts w:ascii="Arial" w:cs="Arial" w:eastAsia="Arial" w:hAnsi="Arial"/>
                <w:sz w:val="18"/>
                <w:szCs w:val="18"/>
                <w:b w:val="1"/>
                <w:bCs w:val="1"/>
                <w:color w:val="auto"/>
                <w:vertAlign w:val="superscript"/>
              </w:rPr>
              <w:t>(1)</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RSUs</w:t>
            </w:r>
          </w:p>
        </w:tc>
        <w:tc>
          <w:tcPr>
            <w:tcW w:w="1300" w:type="dxa"/>
            <w:vAlign w:val="bottom"/>
            <w:gridSpan w:val="2"/>
          </w:tcPr>
          <w:p>
            <w:pPr>
              <w:jc w:val="center"/>
              <w:ind w:right="160"/>
              <w:spacing w:after="0" w:line="162" w:lineRule="exact"/>
              <w:rPr>
                <w:sz w:val="20"/>
                <w:szCs w:val="20"/>
                <w:color w:val="auto"/>
              </w:rPr>
            </w:pPr>
            <w:r>
              <w:rPr>
                <w:rFonts w:ascii="Arial" w:cs="Arial" w:eastAsia="Arial" w:hAnsi="Arial"/>
                <w:sz w:val="13"/>
                <w:szCs w:val="13"/>
                <w:b w:val="1"/>
                <w:bCs w:val="1"/>
                <w:color w:val="auto"/>
              </w:rPr>
              <w:t>Performance</w:t>
            </w:r>
            <w:r>
              <w:rPr>
                <w:rFonts w:ascii="Arial" w:cs="Arial" w:eastAsia="Arial" w:hAnsi="Arial"/>
                <w:sz w:val="18"/>
                <w:szCs w:val="18"/>
                <w:b w:val="1"/>
                <w:bCs w:val="1"/>
                <w:color w:val="auto"/>
                <w:vertAlign w:val="superscript"/>
              </w:rPr>
              <w:t>(1)(2)</w:t>
            </w:r>
          </w:p>
        </w:tc>
        <w:tc>
          <w:tcPr>
            <w:tcW w:w="12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of Performance</w:t>
            </w: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3"/>
                <w:szCs w:val="13"/>
                <w:b w:val="1"/>
                <w:bCs w:val="1"/>
                <w:color w:val="auto"/>
              </w:rPr>
              <w:t>Performance</w:t>
            </w:r>
            <w:r>
              <w:rPr>
                <w:rFonts w:ascii="Arial" w:cs="Arial" w:eastAsia="Arial" w:hAnsi="Arial"/>
                <w:sz w:val="18"/>
                <w:szCs w:val="18"/>
                <w:b w:val="1"/>
                <w:bCs w:val="1"/>
                <w:color w:val="auto"/>
                <w:vertAlign w:val="superscript"/>
              </w:rPr>
              <w:t>(1)</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89"/>
        </w:trPr>
        <w:tc>
          <w:tcPr>
            <w:tcW w:w="1700" w:type="dxa"/>
            <w:vAlign w:val="bottom"/>
            <w:tcBorders>
              <w:top w:val="single" w:sz="8" w:color="DBE5F2"/>
            </w:tcBorders>
            <w:shd w:val="clear" w:color="auto" w:fill="DBE5F2"/>
          </w:tcPr>
          <w:p>
            <w:pPr>
              <w:spacing w:after="0" w:line="189" w:lineRule="exact"/>
              <w:rPr>
                <w:sz w:val="20"/>
                <w:szCs w:val="20"/>
                <w:color w:val="auto"/>
              </w:rPr>
            </w:pPr>
            <w:r>
              <w:rPr>
                <w:rFonts w:ascii="Arial" w:cs="Arial" w:eastAsia="Arial" w:hAnsi="Arial"/>
                <w:sz w:val="18"/>
                <w:szCs w:val="18"/>
                <w:color w:val="auto"/>
              </w:rPr>
              <w:t>Sumedh S. Thakar</w:t>
            </w:r>
          </w:p>
        </w:tc>
        <w:tc>
          <w:tcPr>
            <w:tcW w:w="1800" w:type="dxa"/>
            <w:vAlign w:val="bottom"/>
            <w:tcBorders>
              <w:top w:val="single" w:sz="8" w:color="DBE5F2"/>
            </w:tcBorders>
            <w:shd w:val="clear" w:color="auto" w:fill="DBE5F2"/>
          </w:tcPr>
          <w:p>
            <w:pPr>
              <w:spacing w:after="0"/>
              <w:rPr>
                <w:sz w:val="16"/>
                <w:szCs w:val="16"/>
                <w:color w:val="auto"/>
              </w:rPr>
            </w:pPr>
          </w:p>
        </w:tc>
        <w:tc>
          <w:tcPr>
            <w:tcW w:w="840" w:type="dxa"/>
            <w:vAlign w:val="bottom"/>
            <w:tcBorders>
              <w:top w:val="single" w:sz="8" w:color="auto"/>
            </w:tcBorders>
            <w:shd w:val="clear" w:color="auto" w:fill="DBE5F2"/>
          </w:tcPr>
          <w:p>
            <w:pPr>
              <w:jc w:val="right"/>
              <w:spacing w:after="0" w:line="189" w:lineRule="exact"/>
              <w:rPr>
                <w:sz w:val="20"/>
                <w:szCs w:val="20"/>
                <w:color w:val="auto"/>
              </w:rPr>
            </w:pPr>
            <w:r>
              <w:rPr>
                <w:rFonts w:ascii="Arial" w:cs="Arial" w:eastAsia="Arial" w:hAnsi="Arial"/>
                <w:sz w:val="18"/>
                <w:szCs w:val="18"/>
                <w:color w:val="auto"/>
              </w:rPr>
              <w:t>45,535</w:t>
            </w:r>
          </w:p>
        </w:tc>
        <w:tc>
          <w:tcPr>
            <w:tcW w:w="280" w:type="dxa"/>
            <w:vAlign w:val="bottom"/>
            <w:tcBorders>
              <w:top w:val="single" w:sz="8" w:color="DBE5F2"/>
            </w:tcBorders>
            <w:shd w:val="clear" w:color="auto" w:fill="DBE5F2"/>
          </w:tcPr>
          <w:p>
            <w:pPr>
              <w:spacing w:after="0"/>
              <w:rPr>
                <w:sz w:val="16"/>
                <w:szCs w:val="16"/>
                <w:color w:val="auto"/>
              </w:rPr>
            </w:pPr>
          </w:p>
        </w:tc>
        <w:tc>
          <w:tcPr>
            <w:tcW w:w="920" w:type="dxa"/>
            <w:vAlign w:val="bottom"/>
            <w:tcBorders>
              <w:top w:val="single" w:sz="8" w:color="auto"/>
            </w:tcBorders>
            <w:shd w:val="clear" w:color="auto" w:fill="DBE5F2"/>
          </w:tcPr>
          <w:p>
            <w:pPr>
              <w:jc w:val="center"/>
              <w:spacing w:after="0" w:line="189" w:lineRule="exact"/>
              <w:rPr>
                <w:sz w:val="20"/>
                <w:szCs w:val="20"/>
                <w:color w:val="auto"/>
              </w:rPr>
            </w:pPr>
            <w:r>
              <w:rPr>
                <w:rFonts w:ascii="Arial" w:cs="Arial" w:eastAsia="Arial" w:hAnsi="Arial"/>
                <w:sz w:val="18"/>
                <w:szCs w:val="18"/>
                <w:color w:val="auto"/>
                <w:w w:val="96"/>
              </w:rPr>
              <w:t>$ 6,500,000</w:t>
            </w:r>
          </w:p>
        </w:tc>
        <w:tc>
          <w:tcPr>
            <w:tcW w:w="280" w:type="dxa"/>
            <w:vAlign w:val="bottom"/>
            <w:tcBorders>
              <w:top w:val="single" w:sz="8" w:color="DBE5F2"/>
            </w:tcBorders>
            <w:shd w:val="clear" w:color="auto" w:fill="DBE5F2"/>
          </w:tcPr>
          <w:p>
            <w:pPr>
              <w:spacing w:after="0"/>
              <w:rPr>
                <w:sz w:val="16"/>
                <w:szCs w:val="16"/>
                <w:color w:val="auto"/>
              </w:rPr>
            </w:pPr>
          </w:p>
        </w:tc>
        <w:tc>
          <w:tcPr>
            <w:tcW w:w="1160" w:type="dxa"/>
            <w:vAlign w:val="bottom"/>
            <w:tcBorders>
              <w:top w:val="single" w:sz="8" w:color="auto"/>
            </w:tcBorders>
            <w:shd w:val="clear" w:color="auto" w:fill="DBE5F2"/>
          </w:tcPr>
          <w:p>
            <w:pPr>
              <w:jc w:val="right"/>
              <w:spacing w:after="0" w:line="189" w:lineRule="exact"/>
              <w:rPr>
                <w:sz w:val="20"/>
                <w:szCs w:val="20"/>
                <w:color w:val="auto"/>
              </w:rPr>
            </w:pPr>
            <w:r>
              <w:rPr>
                <w:rFonts w:ascii="Arial" w:cs="Arial" w:eastAsia="Arial" w:hAnsi="Arial"/>
                <w:sz w:val="18"/>
                <w:szCs w:val="18"/>
                <w:color w:val="auto"/>
              </w:rPr>
              <w:t>45,535</w:t>
            </w:r>
          </w:p>
        </w:tc>
        <w:tc>
          <w:tcPr>
            <w:tcW w:w="140" w:type="dxa"/>
            <w:vAlign w:val="bottom"/>
            <w:tcBorders>
              <w:top w:val="single" w:sz="8" w:color="DBE5F2"/>
            </w:tcBorders>
            <w:shd w:val="clear" w:color="auto" w:fill="DBE5F2"/>
          </w:tcPr>
          <w:p>
            <w:pPr>
              <w:spacing w:after="0"/>
              <w:rPr>
                <w:sz w:val="16"/>
                <w:szCs w:val="16"/>
                <w:color w:val="auto"/>
              </w:rPr>
            </w:pPr>
          </w:p>
        </w:tc>
        <w:tc>
          <w:tcPr>
            <w:tcW w:w="120" w:type="dxa"/>
            <w:vAlign w:val="bottom"/>
            <w:tcBorders>
              <w:top w:val="single" w:sz="8" w:color="DBE5F2"/>
            </w:tcBorders>
            <w:shd w:val="clear" w:color="auto" w:fill="DBE5F2"/>
          </w:tcPr>
          <w:p>
            <w:pPr>
              <w:spacing w:after="0"/>
              <w:rPr>
                <w:sz w:val="16"/>
                <w:szCs w:val="16"/>
                <w:color w:val="auto"/>
              </w:rPr>
            </w:pPr>
          </w:p>
        </w:tc>
        <w:tc>
          <w:tcPr>
            <w:tcW w:w="120" w:type="dxa"/>
            <w:vAlign w:val="bottom"/>
            <w:tcBorders>
              <w:top w:val="single" w:sz="8" w:color="auto"/>
            </w:tcBorders>
            <w:shd w:val="clear" w:color="auto" w:fill="DBE5F2"/>
          </w:tcPr>
          <w:p>
            <w:pPr>
              <w:spacing w:after="0" w:line="189"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DBE5F2"/>
          </w:tcPr>
          <w:p>
            <w:pPr>
              <w:jc w:val="right"/>
              <w:spacing w:after="0" w:line="189" w:lineRule="exact"/>
              <w:rPr>
                <w:sz w:val="20"/>
                <w:szCs w:val="20"/>
                <w:color w:val="auto"/>
              </w:rPr>
            </w:pPr>
            <w:r>
              <w:rPr>
                <w:rFonts w:ascii="Arial" w:cs="Arial" w:eastAsia="Arial" w:hAnsi="Arial"/>
                <w:sz w:val="18"/>
                <w:szCs w:val="18"/>
                <w:color w:val="auto"/>
              </w:rPr>
              <w:t>6,500,000</w:t>
            </w:r>
          </w:p>
        </w:tc>
        <w:tc>
          <w:tcPr>
            <w:tcW w:w="280" w:type="dxa"/>
            <w:vAlign w:val="bottom"/>
            <w:tcBorders>
              <w:top w:val="single" w:sz="8" w:color="DBE5F2"/>
            </w:tcBorders>
            <w:shd w:val="clear" w:color="auto" w:fill="DBE5F2"/>
          </w:tcPr>
          <w:p>
            <w:pPr>
              <w:spacing w:after="0"/>
              <w:rPr>
                <w:sz w:val="16"/>
                <w:szCs w:val="16"/>
                <w:color w:val="auto"/>
              </w:rPr>
            </w:pPr>
          </w:p>
        </w:tc>
        <w:tc>
          <w:tcPr>
            <w:tcW w:w="1040" w:type="dxa"/>
            <w:vAlign w:val="bottom"/>
            <w:tcBorders>
              <w:top w:val="single" w:sz="8" w:color="auto"/>
            </w:tcBorders>
            <w:shd w:val="clear" w:color="auto" w:fill="DBE5F2"/>
          </w:tcPr>
          <w:p>
            <w:pPr>
              <w:jc w:val="right"/>
              <w:spacing w:after="0" w:line="189" w:lineRule="exact"/>
              <w:rPr>
                <w:sz w:val="20"/>
                <w:szCs w:val="20"/>
                <w:color w:val="auto"/>
              </w:rPr>
            </w:pPr>
            <w:r>
              <w:rPr>
                <w:rFonts w:ascii="Arial" w:cs="Arial" w:eastAsia="Arial" w:hAnsi="Arial"/>
                <w:sz w:val="18"/>
                <w:szCs w:val="18"/>
                <w:color w:val="auto"/>
              </w:rPr>
              <w:t>91,070</w:t>
            </w:r>
          </w:p>
        </w:tc>
        <w:tc>
          <w:tcPr>
            <w:tcW w:w="260" w:type="dxa"/>
            <w:vAlign w:val="bottom"/>
            <w:tcBorders>
              <w:top w:val="single" w:sz="8" w:color="DBE5F2"/>
            </w:tcBorders>
            <w:shd w:val="clear" w:color="auto" w:fill="DBE5F2"/>
          </w:tcPr>
          <w:p>
            <w:pPr>
              <w:spacing w:after="0"/>
              <w:rPr>
                <w:sz w:val="16"/>
                <w:szCs w:val="16"/>
                <w:color w:val="auto"/>
              </w:rPr>
            </w:pPr>
          </w:p>
        </w:tc>
        <w:tc>
          <w:tcPr>
            <w:tcW w:w="120" w:type="dxa"/>
            <w:vAlign w:val="bottom"/>
            <w:tcBorders>
              <w:top w:val="single" w:sz="8" w:color="auto"/>
            </w:tcBorders>
            <w:shd w:val="clear" w:color="auto" w:fill="DBE5F2"/>
          </w:tcPr>
          <w:p>
            <w:pPr>
              <w:jc w:val="right"/>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DBE5F2"/>
          </w:tcPr>
          <w:p>
            <w:pPr>
              <w:jc w:val="right"/>
              <w:spacing w:after="0" w:line="189" w:lineRule="exact"/>
              <w:rPr>
                <w:sz w:val="20"/>
                <w:szCs w:val="20"/>
                <w:color w:val="auto"/>
              </w:rPr>
            </w:pPr>
            <w:r>
              <w:rPr>
                <w:rFonts w:ascii="Arial" w:cs="Arial" w:eastAsia="Arial" w:hAnsi="Arial"/>
                <w:sz w:val="18"/>
                <w:szCs w:val="18"/>
                <w:color w:val="auto"/>
                <w:w w:val="99"/>
              </w:rPr>
              <w:t>13,000,000</w:t>
            </w:r>
          </w:p>
        </w:tc>
        <w:tc>
          <w:tcPr>
            <w:tcW w:w="80" w:type="dxa"/>
            <w:vAlign w:val="bottom"/>
            <w:tcBorders>
              <w:top w:val="single" w:sz="8" w:color="DBE5F2"/>
            </w:tcBorders>
            <w:shd w:val="clear" w:color="auto" w:fill="DBE5F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Joo Mi Kim</w:t>
            </w:r>
          </w:p>
        </w:tc>
        <w:tc>
          <w:tcPr>
            <w:tcW w:w="29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27,461</w:t>
            </w:r>
          </w:p>
        </w:tc>
        <w:tc>
          <w:tcPr>
            <w:tcW w:w="120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6"/>
              </w:rPr>
              <w:t>$ 3,920,000</w:t>
            </w: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11,769</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1,680,000</w:t>
            </w: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23,538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3,360,000</w:t>
            </w:r>
          </w:p>
        </w:tc>
        <w:tc>
          <w:tcPr>
            <w:tcW w:w="0" w:type="dxa"/>
            <w:vAlign w:val="bottom"/>
          </w:tcPr>
          <w:p>
            <w:pPr>
              <w:spacing w:after="0"/>
              <w:rPr>
                <w:sz w:val="1"/>
                <w:szCs w:val="1"/>
                <w:color w:val="auto"/>
              </w:rPr>
            </w:pPr>
          </w:p>
        </w:tc>
      </w:tr>
      <w:tr>
        <w:trPr>
          <w:trHeight w:val="203"/>
        </w:trPr>
        <w:tc>
          <w:tcPr>
            <w:tcW w:w="1700" w:type="dxa"/>
            <w:vAlign w:val="bottom"/>
            <w:shd w:val="clear" w:color="auto" w:fill="DBE5F2"/>
          </w:tcPr>
          <w:p>
            <w:pPr>
              <w:spacing w:after="0" w:line="202" w:lineRule="exact"/>
              <w:rPr>
                <w:sz w:val="20"/>
                <w:szCs w:val="20"/>
                <w:color w:val="auto"/>
              </w:rPr>
            </w:pPr>
            <w:r>
              <w:rPr>
                <w:rFonts w:ascii="Arial" w:cs="Arial" w:eastAsia="Arial" w:hAnsi="Arial"/>
                <w:sz w:val="18"/>
                <w:szCs w:val="18"/>
                <w:color w:val="auto"/>
              </w:rPr>
              <w:t>Bruce K. Posey</w:t>
            </w:r>
          </w:p>
        </w:tc>
        <w:tc>
          <w:tcPr>
            <w:tcW w:w="2920" w:type="dxa"/>
            <w:vAlign w:val="bottom"/>
            <w:gridSpan w:val="3"/>
            <w:shd w:val="clear" w:color="auto" w:fill="DBE5F2"/>
          </w:tcPr>
          <w:p>
            <w:pPr>
              <w:jc w:val="right"/>
              <w:ind w:right="280"/>
              <w:spacing w:after="0" w:line="202" w:lineRule="exact"/>
              <w:rPr>
                <w:sz w:val="20"/>
                <w:szCs w:val="20"/>
                <w:color w:val="auto"/>
              </w:rPr>
            </w:pPr>
            <w:r>
              <w:rPr>
                <w:rFonts w:ascii="Arial" w:cs="Arial" w:eastAsia="Arial" w:hAnsi="Arial"/>
                <w:sz w:val="18"/>
                <w:szCs w:val="18"/>
                <w:color w:val="auto"/>
              </w:rPr>
              <w:t>15,692</w:t>
            </w:r>
          </w:p>
        </w:tc>
        <w:tc>
          <w:tcPr>
            <w:tcW w:w="1200" w:type="dxa"/>
            <w:vAlign w:val="bottom"/>
            <w:gridSpan w:val="2"/>
            <w:shd w:val="clear" w:color="auto" w:fill="DBE5F2"/>
          </w:tcPr>
          <w:p>
            <w:pPr>
              <w:jc w:val="center"/>
              <w:ind w:right="280"/>
              <w:spacing w:after="0" w:line="202" w:lineRule="exact"/>
              <w:rPr>
                <w:sz w:val="20"/>
                <w:szCs w:val="20"/>
                <w:color w:val="auto"/>
              </w:rPr>
            </w:pPr>
            <w:r>
              <w:rPr>
                <w:rFonts w:ascii="Arial" w:cs="Arial" w:eastAsia="Arial" w:hAnsi="Arial"/>
                <w:sz w:val="18"/>
                <w:szCs w:val="18"/>
                <w:color w:val="auto"/>
                <w:w w:val="96"/>
              </w:rPr>
              <w:t>$ 2,240,000</w:t>
            </w:r>
          </w:p>
        </w:tc>
        <w:tc>
          <w:tcPr>
            <w:tcW w:w="1300" w:type="dxa"/>
            <w:vAlign w:val="bottom"/>
            <w:gridSpan w:val="2"/>
            <w:shd w:val="clear" w:color="auto" w:fill="DBE5F2"/>
          </w:tcPr>
          <w:p>
            <w:pPr>
              <w:jc w:val="right"/>
              <w:ind w:right="140"/>
              <w:spacing w:after="0" w:line="202" w:lineRule="exact"/>
              <w:rPr>
                <w:sz w:val="20"/>
                <w:szCs w:val="20"/>
                <w:color w:val="auto"/>
              </w:rPr>
            </w:pPr>
            <w:r>
              <w:rPr>
                <w:rFonts w:ascii="Arial" w:cs="Arial" w:eastAsia="Arial" w:hAnsi="Arial"/>
                <w:sz w:val="18"/>
                <w:szCs w:val="18"/>
                <w:color w:val="auto"/>
              </w:rPr>
              <w:t>6,726</w:t>
            </w:r>
          </w:p>
        </w:tc>
        <w:tc>
          <w:tcPr>
            <w:tcW w:w="240" w:type="dxa"/>
            <w:vAlign w:val="bottom"/>
            <w:gridSpan w:val="2"/>
            <w:shd w:val="clear" w:color="auto" w:fill="DBE5F2"/>
          </w:tcPr>
          <w:p>
            <w:pPr>
              <w:ind w:left="1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E5F2"/>
          </w:tcPr>
          <w:p>
            <w:pPr>
              <w:jc w:val="right"/>
              <w:ind w:right="280"/>
              <w:spacing w:after="0" w:line="202" w:lineRule="exact"/>
              <w:rPr>
                <w:sz w:val="20"/>
                <w:szCs w:val="20"/>
                <w:color w:val="auto"/>
              </w:rPr>
            </w:pPr>
            <w:r>
              <w:rPr>
                <w:rFonts w:ascii="Arial" w:cs="Arial" w:eastAsia="Arial" w:hAnsi="Arial"/>
                <w:sz w:val="18"/>
                <w:szCs w:val="18"/>
                <w:color w:val="auto"/>
              </w:rPr>
              <w:t>960,000</w:t>
            </w:r>
          </w:p>
        </w:tc>
        <w:tc>
          <w:tcPr>
            <w:tcW w:w="1300" w:type="dxa"/>
            <w:vAlign w:val="bottom"/>
            <w:gridSpan w:val="2"/>
            <w:shd w:val="clear" w:color="auto" w:fill="DBE5F2"/>
          </w:tcPr>
          <w:p>
            <w:pPr>
              <w:jc w:val="right"/>
              <w:ind w:right="260"/>
              <w:spacing w:after="0" w:line="202" w:lineRule="exact"/>
              <w:rPr>
                <w:sz w:val="20"/>
                <w:szCs w:val="20"/>
                <w:color w:val="auto"/>
              </w:rPr>
            </w:pPr>
            <w:r>
              <w:rPr>
                <w:rFonts w:ascii="Arial" w:cs="Arial" w:eastAsia="Arial" w:hAnsi="Arial"/>
                <w:sz w:val="18"/>
                <w:szCs w:val="18"/>
                <w:color w:val="auto"/>
              </w:rPr>
              <w:t>13,452</w:t>
            </w:r>
          </w:p>
        </w:tc>
        <w:tc>
          <w:tcPr>
            <w:tcW w:w="120" w:type="dxa"/>
            <w:vAlign w:val="bottom"/>
            <w:shd w:val="clear" w:color="auto" w:fill="DBE5F2"/>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DBE5F2"/>
          </w:tcPr>
          <w:p>
            <w:pPr>
              <w:jc w:val="right"/>
              <w:ind w:right="80"/>
              <w:spacing w:after="0" w:line="202" w:lineRule="exact"/>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r>
              <w:rPr>
                <w:rFonts w:ascii="Arial" w:cs="Arial" w:eastAsia="Arial" w:hAnsi="Arial"/>
                <w:sz w:val="18"/>
                <w:szCs w:val="18"/>
                <w:color w:val="auto"/>
              </w:rPr>
              <w:t>Allan Peters</w:t>
            </w:r>
          </w:p>
        </w:tc>
        <w:tc>
          <w:tcPr>
            <w:tcW w:w="2920" w:type="dxa"/>
            <w:vAlign w:val="bottom"/>
            <w:gridSpan w:val="3"/>
          </w:tcPr>
          <w:p>
            <w:pPr>
              <w:jc w:val="right"/>
              <w:ind w:right="280"/>
              <w:spacing w:after="0"/>
              <w:rPr>
                <w:sz w:val="20"/>
                <w:szCs w:val="20"/>
                <w:color w:val="auto"/>
              </w:rPr>
            </w:pPr>
            <w:r>
              <w:rPr>
                <w:rFonts w:ascii="Arial" w:cs="Arial" w:eastAsia="Arial" w:hAnsi="Arial"/>
                <w:sz w:val="18"/>
                <w:szCs w:val="18"/>
                <w:color w:val="auto"/>
              </w:rPr>
              <w:t>20,841</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$ 2,975,000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8,932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1,275,000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17,864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2,550,000</w:t>
            </w:r>
          </w:p>
        </w:tc>
        <w:tc>
          <w:tcPr>
            <w:tcW w:w="0" w:type="dxa"/>
            <w:vAlign w:val="bottom"/>
          </w:tcPr>
          <w:p>
            <w:pPr>
              <w:spacing w:after="0"/>
              <w:rPr>
                <w:sz w:val="1"/>
                <w:szCs w:val="1"/>
                <w:color w:val="auto"/>
              </w:rPr>
            </w:pPr>
          </w:p>
        </w:tc>
      </w:tr>
      <w:tr>
        <w:trPr>
          <w:trHeight w:val="332"/>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6" w:right="439" w:bottom="1440" w:gutter="0" w:footer="0" w:header="0"/>
        </w:sectPr>
      </w:pPr>
    </w:p>
    <w:bookmarkStart w:id="45" w:name="page46"/>
    <w:bookmarkEnd w:id="45"/>
    <w:p>
      <w:pPr>
        <w:ind w:left="424" w:right="60" w:hanging="424"/>
        <w:spacing w:after="0" w:line="253" w:lineRule="auto"/>
        <w:tabs>
          <w:tab w:leader="none" w:pos="424"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294640</wp:posOffset>
            </wp:positionV>
            <wp:extent cx="7715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8890"/>
                    </a:xfrm>
                    <a:prstGeom prst="rect">
                      <a:avLst/>
                    </a:prstGeom>
                    <a:noFill/>
                  </pic:spPr>
                </pic:pic>
              </a:graphicData>
            </a:graphic>
          </wp:anchor>
        </w:drawing>
        <w:t>For each of these equity awards, the intended value of each equity award was translated into a number of RSUs or PRSUs, as applicable, by dividing the intended value by $142.75, which was the average closing price of our common stock for the 30-trading-day-period ending seven days before the grant date.</w:t>
      </w:r>
    </w:p>
    <w:p>
      <w:pPr>
        <w:spacing w:after="0" w:line="1" w:lineRule="exact"/>
        <w:rPr>
          <w:rFonts w:ascii="Arial" w:cs="Arial" w:eastAsia="Arial" w:hAnsi="Arial"/>
          <w:sz w:val="16"/>
          <w:szCs w:val="16"/>
          <w:color w:val="auto"/>
        </w:rPr>
      </w:pPr>
    </w:p>
    <w:p>
      <w:pPr>
        <w:ind w:left="424" w:right="60" w:hanging="424"/>
        <w:spacing w:after="0" w:line="256" w:lineRule="auto"/>
        <w:tabs>
          <w:tab w:leader="none" w:pos="42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These PRSU awards are divided into three tranches with one-year performance periods covering the calendar years 2023, 2024, and 2025, respectively. One-third of the target number of PRSUs is allocated to each tranche. Two-thirds of the target number of PRSU awards are subject to performance goals to be set at a future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139065</wp:posOffset>
            </wp:positionV>
            <wp:extent cx="6934835" cy="2280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34835" cy="2280285"/>
                    </a:xfrm>
                    <a:prstGeom prst="rect">
                      <a:avLst/>
                    </a:prstGeom>
                    <a:noFill/>
                  </pic:spPr>
                </pic:pic>
              </a:graphicData>
            </a:graphic>
          </wp:anchor>
        </w:drawing>
      </w:r>
    </w:p>
    <w:p>
      <w:pPr>
        <w:spacing w:after="0" w:line="209" w:lineRule="exact"/>
        <w:rPr>
          <w:sz w:val="20"/>
          <w:szCs w:val="20"/>
          <w:color w:val="auto"/>
        </w:rPr>
      </w:pPr>
    </w:p>
    <w:p>
      <w:pPr>
        <w:ind w:left="164" w:right="620"/>
        <w:spacing w:after="0" w:line="269" w:lineRule="auto"/>
        <w:rPr>
          <w:sz w:val="20"/>
          <w:szCs w:val="20"/>
          <w:color w:val="auto"/>
        </w:rPr>
      </w:pPr>
      <w:r>
        <w:rPr>
          <w:rFonts w:ascii="Arial" w:cs="Arial" w:eastAsia="Arial" w:hAnsi="Arial"/>
          <w:sz w:val="18"/>
          <w:szCs w:val="18"/>
          <w:i w:val="1"/>
          <w:iCs w:val="1"/>
          <w:color w:val="FF0C07"/>
        </w:rPr>
        <w:t>Understanding the Differences: Reported PRSUs in the 2022 Summary Compensation Table vs. Target PRSUs Approved by the Compensation and Talent Committee</w:t>
      </w:r>
    </w:p>
    <w:p>
      <w:pPr>
        <w:spacing w:after="0" w:line="182" w:lineRule="exact"/>
        <w:rPr>
          <w:sz w:val="20"/>
          <w:szCs w:val="20"/>
          <w:color w:val="auto"/>
        </w:rPr>
      </w:pPr>
    </w:p>
    <w:p>
      <w:pPr>
        <w:ind w:left="164" w:right="180" w:firstLine="360"/>
        <w:spacing w:after="0" w:line="247" w:lineRule="auto"/>
        <w:rPr>
          <w:sz w:val="20"/>
          <w:szCs w:val="20"/>
          <w:color w:val="auto"/>
        </w:rPr>
      </w:pPr>
      <w:r>
        <w:rPr>
          <w:rFonts w:ascii="Arial" w:cs="Arial" w:eastAsia="Arial" w:hAnsi="Arial"/>
          <w:sz w:val="18"/>
          <w:szCs w:val="18"/>
          <w:color w:val="auto"/>
        </w:rPr>
        <w:t>As discussed above, the PRSUs awarded to our named executive officers in October 2022 vest annually over a three-year period based on the attainment of performance goals that are set and measured in each year of the three-year period. This results in differences between the reported PRSU award grant date fair value (“GDFV”) in the Summary Compensation Table and the target PRSU award GDFV that was approved by the Compensation and Talent Committee.</w:t>
      </w:r>
    </w:p>
    <w:p>
      <w:pPr>
        <w:spacing w:after="0" w:line="201" w:lineRule="exact"/>
        <w:rPr>
          <w:sz w:val="20"/>
          <w:szCs w:val="20"/>
          <w:color w:val="auto"/>
        </w:rPr>
      </w:pPr>
    </w:p>
    <w:p>
      <w:pPr>
        <w:ind w:left="164" w:right="140" w:firstLine="360"/>
        <w:spacing w:after="0" w:line="239" w:lineRule="auto"/>
        <w:rPr>
          <w:sz w:val="20"/>
          <w:szCs w:val="20"/>
          <w:color w:val="auto"/>
        </w:rPr>
      </w:pPr>
      <w:r>
        <w:rPr>
          <w:rFonts w:ascii="Arial" w:cs="Arial" w:eastAsia="Arial" w:hAnsi="Arial"/>
          <w:sz w:val="18"/>
          <w:szCs w:val="18"/>
          <w:color w:val="auto"/>
        </w:rPr>
        <w:t>The differences in GDFVs are due to the SEC requirement that PRSU award values disclosed in the Summary Compensation Table reflect the GDFV of the PRSU as determined under FASB ASC Topic 718, which stipulates that grant date is established when the underlying terms of the award are fixed. Because the performance goals for each tranche of the PRSU awards granted in October 2022 will be set in different years, each tranche will be reported separately in the proxy statements for the fiscal years 2022, 2023, and 2024, respectively. In addition, the total GDFV of the three tranches for FASB ASC Topic 718 purposes (as reported in the Summary Compensation Table in those proxy statements) may differ from the target PRSU award GDFV that the Compensation and Talent Committee originally approved. In years when the stock price has declined, the GDFV reported for that tranche in the Summary Compensation Table will be lower than the tranche’s target GDFV. In years when the stock price has increased, the GDFV reported for that tranche in the Summary Compensation Table will exceed the tranche’s target GDFV.</w:t>
      </w:r>
    </w:p>
    <w:p>
      <w:pPr>
        <w:spacing w:after="0" w:line="334"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PRSU Awards Granted in October 2021</w:t>
      </w:r>
    </w:p>
    <w:p>
      <w:pPr>
        <w:spacing w:after="0" w:line="102" w:lineRule="exact"/>
        <w:rPr>
          <w:sz w:val="20"/>
          <w:szCs w:val="20"/>
          <w:color w:val="auto"/>
        </w:rPr>
      </w:pPr>
    </w:p>
    <w:p>
      <w:pPr>
        <w:ind w:left="4" w:firstLine="440"/>
        <w:spacing w:after="0" w:line="266" w:lineRule="auto"/>
        <w:rPr>
          <w:sz w:val="20"/>
          <w:szCs w:val="20"/>
          <w:color w:val="auto"/>
        </w:rPr>
      </w:pPr>
      <w:r>
        <w:rPr>
          <w:rFonts w:ascii="Arial" w:cs="Arial" w:eastAsia="Arial" w:hAnsi="Arial"/>
          <w:sz w:val="17"/>
          <w:szCs w:val="17"/>
          <w:color w:val="auto"/>
        </w:rPr>
        <w:t>In October 2021, our board of directors approved the grant of PRSU awards to our named executive officers. Each named executive officer’s PRSU awards are divided into three tranches with one-year performance periods covering the calendar years 2022, 2023, and 2024, respectively. One-third of the target number of PRSUs is allocated to each tranche. Each tranche will become eligible to vest based on the annual growth rate of the Company’s revenues and the Company’s adjusted EBITDA margin for the applicable performance period.</w:t>
      </w:r>
    </w:p>
    <w:p>
      <w:pPr>
        <w:spacing w:after="0" w:line="159"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7"/>
          <w:szCs w:val="17"/>
          <w:color w:val="auto"/>
        </w:rPr>
        <w:t>As a result of the Company achieving revenue growth of 19% and adjusted EBITDA margin of 45% in 2022, the following number of PRSUs became eligible to vest for the first tranche of each named executive officer PRSUs (which represents 181% of each named executive officer’s target number of PRSUs for that tranche): (i) 23,717 for Mr. Thakar, (ii) 8,565 for Ms. Kim, (iii) 5,377 for Mr. Posey, and</w:t>
      </w:r>
    </w:p>
    <w:p>
      <w:pPr>
        <w:spacing w:after="0" w:line="2" w:lineRule="exact"/>
        <w:rPr>
          <w:sz w:val="20"/>
          <w:szCs w:val="20"/>
          <w:color w:val="auto"/>
        </w:rPr>
      </w:pPr>
    </w:p>
    <w:p>
      <w:pPr>
        <w:ind w:left="4" w:right="320" w:hanging="4"/>
        <w:spacing w:after="0" w:line="239" w:lineRule="auto"/>
        <w:tabs>
          <w:tab w:leader="none" w:pos="3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6,589 for Mr. Peters. Of these PRSUs, the following number vested immediately upon our board of directors determining the achievement of the revenue growth and adjusted EBITDA margin goals: (i) 13,096 for Mr. Thakar, (ii) 4,729 for Ms. Kim, (iii) 2,969 for Mr. Posey, and (iv) 3,638 for Mr. Peters. The remaining PRSUs that became eligible to vest are scheduled to vest on the date that performance is certified for the third tranche, subject to the applicable named executive officer’s continued service with us through that date. In Mr. Peters’ case, these remaining PRSUs were forfeited when his transition services ended on March 31, 2023.</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4"/>
          </w:cols>
          <w:pgMar w:left="436" w:top="490" w:right="479" w:bottom="1440" w:gutter="0" w:footer="0" w:header="0"/>
        </w:sectPr>
      </w:pPr>
    </w:p>
    <w:bookmarkStart w:id="46" w:name="page47"/>
    <w:bookmarkEnd w:id="46"/>
    <w:p>
      <w:pPr>
        <w:ind w:left="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Retirement and Other Benefits</w:t>
      </w:r>
    </w:p>
    <w:p>
      <w:pPr>
        <w:spacing w:after="0" w:line="102" w:lineRule="exact"/>
        <w:rPr>
          <w:sz w:val="20"/>
          <w:szCs w:val="20"/>
          <w:color w:val="auto"/>
        </w:rPr>
      </w:pPr>
    </w:p>
    <w:p>
      <w:pPr>
        <w:ind w:right="100" w:firstLine="440"/>
        <w:spacing w:after="0"/>
        <w:rPr>
          <w:sz w:val="20"/>
          <w:szCs w:val="20"/>
          <w:color w:val="auto"/>
        </w:rPr>
      </w:pPr>
      <w:r>
        <w:rPr>
          <w:rFonts w:ascii="Arial" w:cs="Arial" w:eastAsia="Arial" w:hAnsi="Arial"/>
          <w:sz w:val="18"/>
          <w:szCs w:val="18"/>
          <w:color w:val="auto"/>
        </w:rPr>
        <w:t>Our named executive officers participate in the same retirement plan as other U.S.-based full-time employees. We maintain a tax-qualified 401(k) plan that provides eligible employees with an opportunity to save for retirement on a tax advantaged basis. All participants’ interests in their deferrals are 100% vested when contributed. We match 100% on the dollar up to the first 6% contributed with no vesting period, for our employees, including our named executive officers. Pre-tax contributions are allocated to each participant’s individual account and are then invested in selected investment alternatives according to the participants’ directions. The 401(k) plan is intended to qualify under Section 401(a) of the Code. As a tax-qualified retirement plan, contributions to the 401(k) plan and earnings on those contributions are not taxable to the employees until distributed from the 401(k) plan, and all contributions are deductible by us when made.</w:t>
      </w:r>
    </w:p>
    <w:p>
      <w:pPr>
        <w:spacing w:after="0" w:line="180"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In addition, our named executive officers are entitled to participate in the same employee benefit plans, and on the same terms and conditions, as our other U.S.-based, full-time employees. These benefits include health, dental and vision insurance; medical and dependent care flexible spending accounts; short- and long-term disability insurance; life insurance; and accidental death and dismemberment insurance. We believe these benefits are generally consistent with those offered by companies with which we compete for employees.</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02" w:lineRule="exact"/>
        <w:rPr>
          <w:sz w:val="20"/>
          <w:szCs w:val="20"/>
          <w:color w:val="auto"/>
        </w:rPr>
      </w:pPr>
    </w:p>
    <w:p>
      <w:pPr>
        <w:ind w:right="300" w:firstLine="440"/>
        <w:spacing w:after="0" w:line="244" w:lineRule="auto"/>
        <w:rPr>
          <w:sz w:val="20"/>
          <w:szCs w:val="20"/>
          <w:color w:val="auto"/>
        </w:rPr>
      </w:pPr>
      <w:r>
        <w:rPr>
          <w:rFonts w:ascii="Arial" w:cs="Arial" w:eastAsia="Arial" w:hAnsi="Arial"/>
          <w:sz w:val="18"/>
          <w:szCs w:val="18"/>
          <w:color w:val="auto"/>
        </w:rPr>
        <w:t>We generally do not provide perquisites or other personal benefits to our named executive officers. In the future, we may provide perquisites or other personal benefits in limited circumstances, such as where we believe it is appropriate to assist an individual named executive officer in the performance of his or her duties or to make our named executive officers more efficient and effective and for recruitment, motivation, or retention purposes. Our Compensation and Talent Committee will approve and periodically review all future practices with respect to perquisites or other personal benefits.</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 in Control and Severance Benefits</w:t>
      </w:r>
    </w:p>
    <w:p>
      <w:pPr>
        <w:spacing w:after="0" w:line="102" w:lineRule="exact"/>
        <w:rPr>
          <w:sz w:val="20"/>
          <w:szCs w:val="20"/>
          <w:color w:val="auto"/>
        </w:rPr>
      </w:pPr>
    </w:p>
    <w:p>
      <w:pPr>
        <w:ind w:right="300" w:firstLine="440"/>
        <w:spacing w:after="0" w:line="247" w:lineRule="auto"/>
        <w:rPr>
          <w:sz w:val="20"/>
          <w:szCs w:val="20"/>
          <w:color w:val="auto"/>
        </w:rPr>
      </w:pPr>
      <w:r>
        <w:rPr>
          <w:rFonts w:ascii="Arial" w:cs="Arial" w:eastAsia="Arial" w:hAnsi="Arial"/>
          <w:sz w:val="18"/>
          <w:szCs w:val="18"/>
          <w:color w:val="auto"/>
        </w:rPr>
        <w:t>Ms. Kim’s employment offer letter and, prior to the end of his employment with us, Mr. Peters’ employment offer letter provided for certain protections in the event of termination of their employment under specified circumstances. In addition, certain equity awards granted to our named executive officers provided for acceleration of vesting upon termination of their employment under specified circumstances or upon a change in control of the Company.</w:t>
      </w:r>
    </w:p>
    <w:p>
      <w:pPr>
        <w:spacing w:after="0" w:line="174" w:lineRule="exact"/>
        <w:rPr>
          <w:sz w:val="20"/>
          <w:szCs w:val="20"/>
          <w:color w:val="auto"/>
        </w:rPr>
      </w:pPr>
    </w:p>
    <w:p>
      <w:pPr>
        <w:ind w:right="60" w:firstLine="440"/>
        <w:spacing w:after="0" w:line="244" w:lineRule="auto"/>
        <w:rPr>
          <w:sz w:val="20"/>
          <w:szCs w:val="20"/>
          <w:color w:val="auto"/>
        </w:rPr>
      </w:pPr>
      <w:r>
        <w:rPr>
          <w:rFonts w:ascii="Arial" w:cs="Arial" w:eastAsia="Arial" w:hAnsi="Arial"/>
          <w:sz w:val="18"/>
          <w:szCs w:val="18"/>
          <w:color w:val="auto"/>
        </w:rPr>
        <w:t>Our board of directors previously approved (i) a severance and change of control policy for our CEO in April 2021, in connection with Mr. Thakar’s appointment as CEO, and (ii) for our other named executive officers in October 2021. The severance and change of control benefits under these policies supersede any prior agreement or arrangement the named executive officers may have had with us that provided for severance and/or change in control payments or benefits (other than any existing vesting acceleration benefits upon a termination due to death or disability).</w:t>
      </w:r>
    </w:p>
    <w:p>
      <w:pPr>
        <w:spacing w:after="0" w:line="176" w:lineRule="exact"/>
        <w:rPr>
          <w:sz w:val="20"/>
          <w:szCs w:val="20"/>
          <w:color w:val="auto"/>
        </w:rPr>
      </w:pPr>
    </w:p>
    <w:p>
      <w:pPr>
        <w:ind w:right="60" w:firstLine="440"/>
        <w:spacing w:after="0" w:line="271" w:lineRule="auto"/>
        <w:rPr>
          <w:sz w:val="20"/>
          <w:szCs w:val="20"/>
          <w:color w:val="auto"/>
        </w:rPr>
      </w:pPr>
      <w:r>
        <w:rPr>
          <w:rFonts w:ascii="Arial" w:cs="Arial" w:eastAsia="Arial" w:hAnsi="Arial"/>
          <w:sz w:val="18"/>
          <w:szCs w:val="18"/>
          <w:color w:val="auto"/>
        </w:rPr>
        <w:t>Under these policies, in the event of a qualifying termination of the employment of a named executive officer that is not in connection with a change in control, the named executive officer will receive the following benefits:</w:t>
      </w:r>
    </w:p>
    <w:p>
      <w:pPr>
        <w:spacing w:after="0" w:line="59" w:lineRule="exact"/>
        <w:rPr>
          <w:sz w:val="20"/>
          <w:szCs w:val="20"/>
          <w:color w:val="auto"/>
        </w:rPr>
      </w:pPr>
    </w:p>
    <w:p>
      <w:pPr>
        <w:jc w:val="both"/>
        <w:ind w:left="960" w:right="260" w:hanging="424"/>
        <w:spacing w:after="0" w:line="253"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severance pay equal to (i) in the case of the CEO, 12 months of the CEO’s annual base salary, or (ii) in the case of each of the other named executive officers, (A) 3 months of the named executive officer’s annual base salary, if he or she has been employed by us for less than 1 year, (B) 6 months of the named executive officer’s annual base salary, if he or she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98" w:right="439" w:bottom="1440" w:gutter="0" w:footer="0" w:header="0"/>
        </w:sectPr>
      </w:pPr>
    </w:p>
    <w:bookmarkStart w:id="47" w:name="page48"/>
    <w:bookmarkEnd w:id="47"/>
    <w:p>
      <w:pPr>
        <w:ind w:left="980" w:right="4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has been employed by us for at least 1 year but not more than 5 years, or (C) 9 months of the named executive officer’s annual base salary, if he or she has been employed by us for more than 5 years; and</w:t>
      </w:r>
    </w:p>
    <w:p>
      <w:pPr>
        <w:spacing w:after="0" w:line="59" w:lineRule="exact"/>
        <w:rPr>
          <w:sz w:val="20"/>
          <w:szCs w:val="20"/>
          <w:color w:val="auto"/>
        </w:rPr>
      </w:pPr>
    </w:p>
    <w:p>
      <w:pPr>
        <w:ind w:left="960" w:hanging="424"/>
        <w:spacing w:after="0" w:line="24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 or reimbursement of premiums for coverage under COBRA for the named executive officer and his or her eligible dependents, if any, for up to the number of months of annual base salary that the named executive officer is entitled to receive under the previous bullet or taxable monthly payments for the equivalent period in the event payment of the COBRA premiums would violate or be subject to an excise tax under applicable law.</w:t>
      </w:r>
    </w:p>
    <w:p>
      <w:pPr>
        <w:spacing w:after="0" w:line="174" w:lineRule="exact"/>
        <w:rPr>
          <w:sz w:val="20"/>
          <w:szCs w:val="20"/>
          <w:color w:val="auto"/>
        </w:rPr>
      </w:pPr>
    </w:p>
    <w:p>
      <w:pPr>
        <w:ind w:right="280" w:firstLine="440"/>
        <w:spacing w:after="0" w:line="271" w:lineRule="auto"/>
        <w:rPr>
          <w:sz w:val="20"/>
          <w:szCs w:val="20"/>
          <w:color w:val="auto"/>
        </w:rPr>
      </w:pPr>
      <w:r>
        <w:rPr>
          <w:rFonts w:ascii="Arial" w:cs="Arial" w:eastAsia="Arial" w:hAnsi="Arial"/>
          <w:sz w:val="18"/>
          <w:szCs w:val="18"/>
          <w:color w:val="auto"/>
        </w:rPr>
        <w:t>In the event of a qualifying termination of the employment of a named executive officer in connection with a change in control, the named executive officer will receive the following benefits:</w:t>
      </w:r>
    </w:p>
    <w:p>
      <w:pPr>
        <w:spacing w:after="0" w:line="59" w:lineRule="exact"/>
        <w:rPr>
          <w:sz w:val="20"/>
          <w:szCs w:val="20"/>
          <w:color w:val="auto"/>
        </w:rPr>
      </w:pPr>
    </w:p>
    <w:p>
      <w:pPr>
        <w:ind w:left="960" w:right="260" w:hanging="424"/>
        <w:spacing w:after="0" w:line="271"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severance pay equal to 100% (or in the CEO’s case, 150%) of the named executive officer’s annual base salary and target annual bonus;</w:t>
      </w:r>
    </w:p>
    <w:p>
      <w:pPr>
        <w:spacing w:after="0" w:line="59" w:lineRule="exact"/>
        <w:rPr>
          <w:rFonts w:ascii="Arial" w:cs="Arial" w:eastAsia="Arial" w:hAnsi="Arial"/>
          <w:sz w:val="18"/>
          <w:szCs w:val="18"/>
          <w:color w:val="auto"/>
        </w:rPr>
      </w:pPr>
    </w:p>
    <w:p>
      <w:pPr>
        <w:ind w:left="960" w:right="200" w:hanging="424"/>
        <w:spacing w:after="0" w:line="25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or reimbursement of premiums for coverage under COBRA for the named executive officer and his or her eligible dependents, if any, for up to 12 months (or in the CEO’s case, 18 months) or taxable monthly payments for the equivalent period in the event payment of the COBRA premiums would violate or be subject to an excise tax under applicable law; and</w:t>
      </w:r>
    </w:p>
    <w:p>
      <w:pPr>
        <w:spacing w:after="0" w:line="74" w:lineRule="exact"/>
        <w:rPr>
          <w:rFonts w:ascii="Arial" w:cs="Arial" w:eastAsia="Arial" w:hAnsi="Arial"/>
          <w:sz w:val="18"/>
          <w:szCs w:val="18"/>
          <w:color w:val="auto"/>
        </w:rPr>
      </w:pPr>
    </w:p>
    <w:p>
      <w:pPr>
        <w:ind w:left="960" w:right="160" w:hanging="424"/>
        <w:spacing w:after="0" w:line="25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accelerated vesting and exercisability as to 100% of any then-unvested equity awards (including any Overperformance Amount), with performance-based equity awards vesting at target levels of performance for future performance periods. The payout will include already achieved cumulative performance over 100% up to the end of the prior performance period.</w:t>
      </w:r>
    </w:p>
    <w:p>
      <w:pPr>
        <w:spacing w:after="0" w:line="169" w:lineRule="exact"/>
        <w:rPr>
          <w:sz w:val="20"/>
          <w:szCs w:val="20"/>
          <w:color w:val="auto"/>
        </w:rPr>
      </w:pPr>
    </w:p>
    <w:p>
      <w:pPr>
        <w:ind w:right="20" w:firstLine="440"/>
        <w:spacing w:after="0" w:line="247" w:lineRule="auto"/>
        <w:rPr>
          <w:sz w:val="20"/>
          <w:szCs w:val="20"/>
          <w:color w:val="auto"/>
        </w:rPr>
      </w:pPr>
      <w:r>
        <w:rPr>
          <w:rFonts w:ascii="Arial" w:cs="Arial" w:eastAsia="Arial" w:hAnsi="Arial"/>
          <w:sz w:val="18"/>
          <w:szCs w:val="18"/>
          <w:color w:val="auto"/>
        </w:rPr>
        <w:t>We believe that these arrangements maximize stockholder value by minimizing any potential distractions caused by the possibility of an involuntary termination or a potential change in control, which allows our named executive officers to maintain their focus and dedication to their responsibilities. We believe that these arrangements also provide further retention value by encouraging our named executive officers to continue providing services to us.</w:t>
      </w:r>
    </w:p>
    <w:p>
      <w:pPr>
        <w:spacing w:after="0" w:line="174"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For a summary of the material terms and conditions of these severance and change in control arrangements, see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Transition Agreement with Allan Peters</w:t>
      </w:r>
    </w:p>
    <w:p>
      <w:pPr>
        <w:spacing w:after="0" w:line="102" w:lineRule="exact"/>
        <w:rPr>
          <w:sz w:val="20"/>
          <w:szCs w:val="20"/>
          <w:color w:val="auto"/>
        </w:rPr>
      </w:pPr>
    </w:p>
    <w:p>
      <w:pPr>
        <w:ind w:right="100" w:firstLine="440"/>
        <w:spacing w:after="0" w:line="247" w:lineRule="auto"/>
        <w:rPr>
          <w:sz w:val="20"/>
          <w:szCs w:val="20"/>
          <w:color w:val="auto"/>
        </w:rPr>
      </w:pPr>
      <w:r>
        <w:rPr>
          <w:rFonts w:ascii="Arial" w:cs="Arial" w:eastAsia="Arial" w:hAnsi="Arial"/>
          <w:sz w:val="18"/>
          <w:szCs w:val="18"/>
          <w:color w:val="auto"/>
        </w:rPr>
        <w:t>In connection with the end of Mr. Peters’ employment with us, we entered into a Transition Agreement and Release with Mr. Peters, pursuant to which Mr. Peters provided transition services to us until March 31, 2023, and we paid his earned wages through March 31, 2023, and agreed to pay him $162,500 and reimburse him for up to 4 months of COBRA coverage. Mr. Peters did not receive any acceleration of his equity awards in connection with the end of his employment with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Hedging and Pledging Policy</w:t>
      </w:r>
    </w:p>
    <w:p>
      <w:pPr>
        <w:spacing w:after="0" w:line="102"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We have implemented an insider trading policy that prohibits directors, officers, employees and agents (such as consultants and independent contractors) of our company as well as related parties from trading in derivative securities (including hedging) with respect to our common stock, pledging company securities as collateral, or holding company securities in a margin account.</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Ownership Guidelines and Equity Holding Policy</w:t>
      </w:r>
    </w:p>
    <w:p>
      <w:pPr>
        <w:spacing w:after="0" w:line="102" w:lineRule="exact"/>
        <w:rPr>
          <w:sz w:val="20"/>
          <w:szCs w:val="20"/>
          <w:color w:val="auto"/>
        </w:rPr>
      </w:pPr>
    </w:p>
    <w:p>
      <w:pPr>
        <w:ind w:right="320" w:firstLine="440"/>
        <w:spacing w:after="0" w:line="271" w:lineRule="auto"/>
        <w:rPr>
          <w:sz w:val="20"/>
          <w:szCs w:val="20"/>
          <w:color w:val="auto"/>
        </w:rPr>
      </w:pPr>
      <w:r>
        <w:rPr>
          <w:rFonts w:ascii="Arial" w:cs="Arial" w:eastAsia="Arial" w:hAnsi="Arial"/>
          <w:sz w:val="18"/>
          <w:szCs w:val="18"/>
          <w:color w:val="auto"/>
        </w:rPr>
        <w:t>In February 2019, we adopted stock ownership guidelines that set minimum stock ownership requirements for our non-employee directors and executive officers (including our named executive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96"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officers), in order to more closely align their interests with the long-term interests of our stockholders. Under the guidelines, each executive officer is required to own a number of shares of our common stock with a value equal to a specified multiple of his or her base salary. Before April 2022, shares of the Company’s common stock (including shares beneficially owned) and vested and exercisable “in-the-money” stock options counted towards satisfaction of the stock ownership levels. In April 2022, our board of directors approved a change to the guidelines such that only shares of the Company’s common stock (including shares in which the individual holds a benefit interest) will count towards satisfaction of the stock ownership levels. Consistent with emerging best practices, vested and exercisable stock options are no longer counted towards satisfying the guidelines.</w:t>
      </w:r>
    </w:p>
    <w:p>
      <w:pPr>
        <w:spacing w:after="0" w:line="185"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Each executive officer must satisfy his or her applicable ownership level by the later of (i) February 8, 2024 or (ii) five years after becoming an executive officer. Compliance with these guidelines is measured based on the executive officer’s annual base salary and the closing price of the Company’s common stock, in each case as of December 31 of each year (or the next trading day if December 31 is not a trading day). Unless and until an executive officer has satisfied his or her applicable level of ownership, he or she is required to retain an amount equal to 50% of the shares received as the result of the exercise, vesting or payment of any equity awards after any shares are sold or withheld, as the case may be, to (i) pay any applicable exercise price for an equity award or (ii) satisfy withholding tax obligations arising in connection with the exercise, vesting or payment of an equity award. In addition, all shares subject to performance-based vesting generally must be held and not disposed of for at least three years from the date of grant of the underlying award.</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60" w:type="dxa"/>
            <w:vAlign w:val="bottom"/>
          </w:tcPr>
          <w:p>
            <w:pPr>
              <w:spacing w:after="0"/>
              <w:rPr>
                <w:sz w:val="14"/>
                <w:szCs w:val="14"/>
                <w:color w:val="auto"/>
              </w:rPr>
            </w:pPr>
          </w:p>
        </w:tc>
        <w:tc>
          <w:tcPr>
            <w:tcW w:w="336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rPr>
              <w:t>Stock Ownership Requirement</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In Compliance</w:t>
            </w:r>
          </w:p>
        </w:tc>
        <w:tc>
          <w:tcPr>
            <w:tcW w:w="0" w:type="dxa"/>
            <w:vAlign w:val="bottom"/>
          </w:tcPr>
          <w:p>
            <w:pPr>
              <w:spacing w:after="0"/>
              <w:rPr>
                <w:sz w:val="1"/>
                <w:szCs w:val="1"/>
                <w:color w:val="auto"/>
              </w:rPr>
            </w:pPr>
          </w:p>
        </w:tc>
      </w:tr>
      <w:tr>
        <w:trPr>
          <w:trHeight w:val="178"/>
        </w:trPr>
        <w:tc>
          <w:tcPr>
            <w:tcW w:w="1700" w:type="dxa"/>
            <w:vAlign w:val="bottom"/>
            <w:tcBorders>
              <w:bottom w:val="single" w:sz="8" w:color="auto"/>
            </w:tcBorders>
            <w:vMerge w:val="continue"/>
          </w:tcPr>
          <w:p>
            <w:pPr>
              <w:spacing w:after="0"/>
              <w:rPr>
                <w:sz w:val="15"/>
                <w:szCs w:val="15"/>
                <w:color w:val="auto"/>
              </w:rPr>
            </w:pPr>
          </w:p>
        </w:tc>
        <w:tc>
          <w:tcPr>
            <w:tcW w:w="2260" w:type="dxa"/>
            <w:vAlign w:val="bottom"/>
          </w:tcPr>
          <w:p>
            <w:pPr>
              <w:spacing w:after="0"/>
              <w:rPr>
                <w:sz w:val="15"/>
                <w:szCs w:val="15"/>
                <w:color w:val="auto"/>
              </w:rPr>
            </w:pPr>
          </w:p>
        </w:tc>
        <w:tc>
          <w:tcPr>
            <w:tcW w:w="336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as a Multiple of Base Salary</w:t>
            </w:r>
          </w:p>
        </w:tc>
        <w:tc>
          <w:tcPr>
            <w:tcW w:w="104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(Yes/No)</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Sumedh S. Thakar</w:t>
            </w:r>
          </w:p>
        </w:tc>
        <w:tc>
          <w:tcPr>
            <w:tcW w:w="226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w:t>
            </w:r>
          </w:p>
        </w:tc>
        <w:tc>
          <w:tcPr>
            <w:tcW w:w="1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Yes</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Joo Mi Kim</w:t>
            </w:r>
          </w:p>
        </w:tc>
        <w:tc>
          <w:tcPr>
            <w:tcW w:w="5620" w:type="dxa"/>
            <w:vAlign w:val="bottom"/>
            <w:gridSpan w:val="3"/>
          </w:tcPr>
          <w:p>
            <w:pPr>
              <w:jc w:val="right"/>
              <w:ind w:right="1240"/>
              <w:spacing w:after="0" w:line="202" w:lineRule="exact"/>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5620" w:type="dxa"/>
            <w:vAlign w:val="bottom"/>
            <w:gridSpan w:val="3"/>
            <w:shd w:val="clear" w:color="auto" w:fill="CCEEFF"/>
          </w:tcPr>
          <w:p>
            <w:pPr>
              <w:jc w:val="right"/>
              <w:ind w:right="1240"/>
              <w:spacing w:after="0" w:line="202" w:lineRule="exact"/>
              <w:rPr>
                <w:sz w:val="20"/>
                <w:szCs w:val="20"/>
                <w:color w:val="auto"/>
              </w:rPr>
            </w:pPr>
            <w:r>
              <w:rPr>
                <w:rFonts w:ascii="Arial" w:cs="Arial" w:eastAsia="Arial" w:hAnsi="Arial"/>
                <w:sz w:val="18"/>
                <w:szCs w:val="18"/>
                <w:color w:val="auto"/>
              </w:rPr>
              <w:t>3.0</w:t>
            </w: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r>
              <w:rPr>
                <w:rFonts w:ascii="Arial" w:cs="Arial" w:eastAsia="Arial" w:hAnsi="Arial"/>
                <w:sz w:val="18"/>
                <w:szCs w:val="18"/>
                <w:color w:val="auto"/>
              </w:rPr>
              <w:t>Allan Peters</w:t>
            </w:r>
          </w:p>
        </w:tc>
        <w:tc>
          <w:tcPr>
            <w:tcW w:w="5620" w:type="dxa"/>
            <w:vAlign w:val="bottom"/>
            <w:gridSpan w:val="3"/>
          </w:tcPr>
          <w:p>
            <w:pPr>
              <w:jc w:val="right"/>
              <w:ind w:right="1240"/>
              <w:spacing w:after="0"/>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71120</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1860" w:hanging="433"/>
        <w:spacing w:after="0"/>
        <w:tabs>
          <w:tab w:leader="none" w:pos="1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Posey has until February 2024 to satisfy his stock ownership requirement.</w:t>
      </w:r>
    </w:p>
    <w:p>
      <w:pPr>
        <w:spacing w:after="0" w:line="3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02" w:lineRule="exact"/>
        <w:rPr>
          <w:sz w:val="20"/>
          <w:szCs w:val="20"/>
          <w:color w:val="auto"/>
        </w:rPr>
      </w:pPr>
    </w:p>
    <w:p>
      <w:pPr>
        <w:ind w:right="40" w:firstLine="440"/>
        <w:spacing w:after="0"/>
        <w:rPr>
          <w:sz w:val="20"/>
          <w:szCs w:val="20"/>
          <w:color w:val="auto"/>
        </w:rPr>
      </w:pPr>
      <w:r>
        <w:rPr>
          <w:rFonts w:ascii="Arial" w:cs="Arial" w:eastAsia="Arial" w:hAnsi="Arial"/>
          <w:sz w:val="18"/>
          <w:szCs w:val="18"/>
          <w:color w:val="auto"/>
        </w:rPr>
        <w:t>We have adopted a clawback policy that prevents an executive officer from benefiting from cash-based incentive compensation or performance-based equity compensation that was paid based on the achievement of performance results that were subsequently restated as a result of the officer’s misconduct. This policy helps foster and maintain a culture that emphasizes integrity and accountability. Our clawback policy permits us to require that any of our current or former officers who is (or was) subject to Section 16 of the Exchange Act, repay certain cash-based incentive compensation or performance-based equity compensation to us if our Compensation and Talent Committee determines that such an officer’s actions caused or partially caused us to materially restate all or a portion of our financial statements. We will comply with any Nasdaq listing standards requiring clawbacks, once final.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102" w:lineRule="exact"/>
        <w:rPr>
          <w:sz w:val="20"/>
          <w:szCs w:val="20"/>
          <w:color w:val="auto"/>
        </w:rPr>
      </w:pPr>
    </w:p>
    <w:p>
      <w:pPr>
        <w:ind w:right="20" w:firstLine="440"/>
        <w:spacing w:after="0" w:line="271" w:lineRule="auto"/>
        <w:rPr>
          <w:sz w:val="20"/>
          <w:szCs w:val="20"/>
          <w:color w:val="auto"/>
        </w:rPr>
      </w:pPr>
      <w:r>
        <w:rPr>
          <w:rFonts w:ascii="Arial" w:cs="Arial" w:eastAsia="Arial" w:hAnsi="Arial"/>
          <w:sz w:val="18"/>
          <w:szCs w:val="18"/>
          <w:color w:val="auto"/>
        </w:rPr>
        <w:t>Section 162(m) of the Code generally limits the amount we may deduct for federal income tax purposes for compensation paid to our Chief Executive Officer and certain of our other executive officers in any taxable year to $1 million per person.</w:t>
      </w:r>
    </w:p>
    <w:p>
      <w:pPr>
        <w:spacing w:after="0" w:line="154" w:lineRule="exact"/>
        <w:rPr>
          <w:sz w:val="20"/>
          <w:szCs w:val="20"/>
          <w:color w:val="auto"/>
        </w:rPr>
      </w:pPr>
    </w:p>
    <w:p>
      <w:pPr>
        <w:ind w:right="80" w:firstLine="440"/>
        <w:spacing w:after="0" w:line="271" w:lineRule="auto"/>
        <w:rPr>
          <w:sz w:val="20"/>
          <w:szCs w:val="20"/>
          <w:color w:val="auto"/>
        </w:rPr>
      </w:pPr>
      <w:r>
        <w:rPr>
          <w:rFonts w:ascii="Arial" w:cs="Arial" w:eastAsia="Arial" w:hAnsi="Arial"/>
          <w:sz w:val="18"/>
          <w:szCs w:val="18"/>
          <w:color w:val="auto"/>
        </w:rPr>
        <w:t>An exception to the $1 million limitation for performance-based compensation meeting certain requirements was repealed beginning in 2018 (other than with respect to certain grandfathered</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96" w:right="459" w:bottom="1440" w:gutter="0" w:footer="0" w:header="0"/>
        </w:sectPr>
      </w:pPr>
    </w:p>
    <w:bookmarkStart w:id="49" w:name="page50"/>
    <w:bookmarkEnd w:id="49"/>
    <w:p>
      <w:pPr>
        <w:ind w:right="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arrangements) under the Tax Cuts and Jobs Act (the “Act”). Under the transition relief provisions of the Act, it is possible that certain of the equity awards we granted prior to 2018 may be grandfathered and eligible to be excluded from the Section 162(m) deduction limits. Except for any equity awards that qualify for such transition relief provisions, compensation paid to any of our covered executives generally will not be deductible in 2022 or future years, to the extent that it exceeds $1 million.</w:t>
      </w:r>
    </w:p>
    <w:p>
      <w:pPr>
        <w:spacing w:after="0" w:line="174"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While our Compensation and Talent Committee is mindful of the benefit of being able to fully deduct the compensation paid to our executives, our Compensation and Talent Committee believes that we should retain the flexibility to compensate our executive officers in a manner that can best promote our business objectives. Therefore, our Compensation and Talent Committee intends to continue to compensate our executives in a manner consistent with the best interests of our company and our stockholders, even if such compensation is not fully deductible.</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“Parachute Payments” and Deferred Compensation</w:t>
      </w:r>
    </w:p>
    <w:p>
      <w:pPr>
        <w:spacing w:after="0" w:line="102" w:lineRule="exact"/>
        <w:rPr>
          <w:sz w:val="20"/>
          <w:szCs w:val="20"/>
          <w:color w:val="auto"/>
        </w:rPr>
      </w:pPr>
    </w:p>
    <w:p>
      <w:pPr>
        <w:ind w:right="120" w:firstLine="440"/>
        <w:spacing w:after="0" w:line="244" w:lineRule="auto"/>
        <w:rPr>
          <w:sz w:val="20"/>
          <w:szCs w:val="20"/>
          <w:color w:val="auto"/>
        </w:rPr>
      </w:pPr>
      <w:r>
        <w:rPr>
          <w:rFonts w:ascii="Arial" w:cs="Arial" w:eastAsia="Arial" w:hAnsi="Arial"/>
          <w:sz w:val="18"/>
          <w:szCs w:val="18"/>
          <w:color w:val="auto"/>
        </w:rPr>
        <w:t>Under Sections 280G and 4999 of the Code, certain service providers, which may include our named executive officers, may be subject to an excise tax if they receive payments or benefits in connection with a change in control that exceeds certain prescribed limits, and the Company may forfeit a deduction on the amounts subject to this excise tax. Also, Section 409A of the Code imposes significant additional taxes on a service provider in the event the service provider receives “deferred compensation” that does not meet the requirements of Section 409A of the Code.</w:t>
      </w:r>
    </w:p>
    <w:p>
      <w:pPr>
        <w:spacing w:after="0" w:line="176"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In 2022, we did not provide any of our named executive officers with a “gross-up” or other reimbursement payment for any excise tax liability that he or she might owe as a result of the application of Sections 280G or 4999 or for any additional tax that he or she might owe as a result of the application of Section 409A. We have not agreed and are not otherwise obligated to provide any named executive officer with such a “gross-up” or other reimbursement.</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Considerations</w:t>
      </w:r>
    </w:p>
    <w:p>
      <w:pPr>
        <w:spacing w:after="0" w:line="102" w:lineRule="exact"/>
        <w:rPr>
          <w:sz w:val="20"/>
          <w:szCs w:val="20"/>
          <w:color w:val="auto"/>
        </w:rPr>
      </w:pPr>
    </w:p>
    <w:p>
      <w:pPr>
        <w:ind w:right="140" w:firstLine="440"/>
        <w:spacing w:after="0" w:line="242" w:lineRule="auto"/>
        <w:rPr>
          <w:sz w:val="20"/>
          <w:szCs w:val="20"/>
          <w:color w:val="auto"/>
        </w:rPr>
      </w:pPr>
      <w:r>
        <w:rPr>
          <w:rFonts w:ascii="Arial" w:cs="Arial" w:eastAsia="Arial" w:hAnsi="Arial"/>
          <w:sz w:val="18"/>
          <w:szCs w:val="18"/>
          <w:color w:val="auto"/>
        </w:rPr>
        <w:t>Accounting standards on stock compensation requires us to measure the compensation expense for all share-based payment awards made to employees (including our named executive officers) and directors based on the grant date “fair value” of these awards. This calculation is performed for accounting purposes and reported in the tables below, even though our named executive officers and directors may never realize any value from their equity awards. The accounting standards also require us to recognize the compensation cost of share-based payment awards in our income statements over the period that the named executive officer or director is required to provide services to us in exchange for the vesting of the equity award.</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Risk Considerations</w:t>
      </w:r>
    </w:p>
    <w:p>
      <w:pPr>
        <w:spacing w:after="0" w:line="102" w:lineRule="exact"/>
        <w:rPr>
          <w:sz w:val="20"/>
          <w:szCs w:val="20"/>
          <w:color w:val="auto"/>
        </w:rPr>
      </w:pPr>
    </w:p>
    <w:p>
      <w:pPr>
        <w:ind w:right="40" w:firstLine="440"/>
        <w:spacing w:after="0"/>
        <w:rPr>
          <w:sz w:val="20"/>
          <w:szCs w:val="20"/>
          <w:color w:val="auto"/>
        </w:rPr>
      </w:pPr>
      <w:r>
        <w:rPr>
          <w:rFonts w:ascii="Arial" w:cs="Arial" w:eastAsia="Arial" w:hAnsi="Arial"/>
          <w:sz w:val="18"/>
          <w:szCs w:val="18"/>
          <w:color w:val="auto"/>
        </w:rPr>
        <w:t>Our Compensation and Talent Committee assesses risks created by the incentives inherent in our compensation policies. We have designed our executive compensation program so that our executive officers (including our named executive officers) focus on both short-term and long-term financial and operational performance. In addition, in 2022, our Compensation and Talent Committee had engaged Compensia to independently review our executive compensation program. Our Compensation and Talent Committee conducts an annual review of our executive compensation program to ensure that it continues to reward our executive officers (including our named executive officers) for creating short-term and long-term stockholder value without encouraging our executive officers to take excessive risks. Based on the results of these reviews, we do not believe that our executive compensation program creates risks that are reasonably likely to have a material adverse effect on us. The risk mitigation features include:</w:t>
      </w:r>
    </w:p>
    <w:p>
      <w:pPr>
        <w:spacing w:after="0" w:line="86" w:lineRule="exact"/>
        <w:rPr>
          <w:sz w:val="20"/>
          <w:szCs w:val="20"/>
          <w:color w:val="auto"/>
        </w:rPr>
      </w:pPr>
    </w:p>
    <w:p>
      <w:pPr>
        <w:ind w:left="5400" w:right="3040" w:hanging="4864"/>
        <w:spacing w:after="0" w:line="443" w:lineRule="auto"/>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Balance among short- and long-term incentives, cash and equity, fixed and variable pay 48</w:t>
      </w:r>
    </w:p>
    <w:p>
      <w:pPr>
        <w:sectPr>
          <w:pgSz w:w="11900" w:h="16838" w:orient="portrait"/>
          <w:cols w:equalWidth="0" w:num="1">
            <w:col w:w="10980"/>
          </w:cols>
          <w:pgMar w:left="440" w:top="296" w:right="479" w:bottom="1440" w:gutter="0" w:footer="0" w:header="0"/>
        </w:sectPr>
      </w:pPr>
    </w:p>
    <w:bookmarkStart w:id="50" w:name="page51"/>
    <w:bookmarkEnd w:id="50"/>
    <w:p>
      <w:pPr>
        <w:ind w:left="964" w:hanging="424"/>
        <w:spacing w:after="0"/>
        <w:tabs>
          <w:tab w:leader="none" w:pos="964"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Multiple performance metrics as targets</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Caps on pay</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Clawback policy</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 ownership</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Holding period requirement for performance-based equity</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Anti-hedging policies</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Double-trigger change in control requirement</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and Talent Committee Report</w:t>
      </w:r>
    </w:p>
    <w:p>
      <w:pPr>
        <w:spacing w:after="0" w:line="106" w:lineRule="exact"/>
        <w:rPr>
          <w:sz w:val="20"/>
          <w:szCs w:val="20"/>
          <w:color w:val="auto"/>
        </w:rPr>
      </w:pPr>
    </w:p>
    <w:p>
      <w:pPr>
        <w:ind w:left="4" w:right="60" w:firstLine="440"/>
        <w:spacing w:after="0" w:line="252" w:lineRule="auto"/>
        <w:rPr>
          <w:sz w:val="20"/>
          <w:szCs w:val="20"/>
          <w:color w:val="auto"/>
        </w:rPr>
      </w:pPr>
      <w:r>
        <w:rPr>
          <w:rFonts w:ascii="Arial" w:cs="Arial" w:eastAsia="Arial" w:hAnsi="Arial"/>
          <w:sz w:val="18"/>
          <w:szCs w:val="18"/>
          <w:i w:val="1"/>
          <w:iCs w:val="1"/>
          <w:color w:val="auto"/>
        </w:rPr>
        <w:t>The following Compensation and Talent Committee Report shall not be deemed to be “soliciting material” and should not be deemed “filed” and shall not be deemed to be incorporated by reference in future filings with the SEC, except to the extent that the Company specifically incorporates it by reference into a document filed under the Securities Act or the Exchange Act.</w:t>
      </w:r>
    </w:p>
    <w:p>
      <w:pPr>
        <w:spacing w:after="0" w:line="169" w:lineRule="exact"/>
        <w:rPr>
          <w:sz w:val="20"/>
          <w:szCs w:val="20"/>
          <w:color w:val="auto"/>
        </w:rPr>
      </w:pPr>
    </w:p>
    <w:p>
      <w:pPr>
        <w:ind w:left="4" w:right="80" w:firstLine="440"/>
        <w:spacing w:after="0" w:line="247" w:lineRule="auto"/>
        <w:rPr>
          <w:sz w:val="20"/>
          <w:szCs w:val="20"/>
          <w:color w:val="auto"/>
        </w:rPr>
      </w:pPr>
      <w:r>
        <w:rPr>
          <w:rFonts w:ascii="Arial" w:cs="Arial" w:eastAsia="Arial" w:hAnsi="Arial"/>
          <w:sz w:val="18"/>
          <w:szCs w:val="18"/>
          <w:color w:val="auto"/>
        </w:rPr>
        <w:t>Our Compensation and Talent Committee has reviewed and discussed with management the Compensation Discussion and Analysis provided above. Based on its review and discussions, the committee recommended to our board of directors that the Compensation Discussion and Analysis be included in this proxy statement and the Company’s Annual Report on Form 10-K for the fiscal year ended December 31, 2022, filed with the SEC on February 23, 2023.</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Respectfully submitted by the members of the Compensation and Talent Committee of the board of directors:</w:t>
      </w:r>
    </w:p>
    <w:p>
      <w:pPr>
        <w:spacing w:after="0" w:line="21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John Zangardi (Chair)</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William Berutti</w:t>
      </w:r>
    </w:p>
    <w:p>
      <w:pPr>
        <w:ind w:left="444"/>
        <w:spacing w:after="0" w:line="234" w:lineRule="auto"/>
        <w:rPr>
          <w:sz w:val="20"/>
          <w:szCs w:val="20"/>
          <w:color w:val="auto"/>
        </w:rPr>
      </w:pPr>
      <w:r>
        <w:rPr>
          <w:rFonts w:ascii="Arial" w:cs="Arial" w:eastAsia="Arial" w:hAnsi="Arial"/>
          <w:sz w:val="18"/>
          <w:szCs w:val="18"/>
          <w:color w:val="auto"/>
        </w:rPr>
        <w:t>General Peter Pace</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Kristi M. Rogers</w:t>
      </w: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2022 Summary Compensation Table</w:t>
      </w:r>
    </w:p>
    <w:p>
      <w:pPr>
        <w:spacing w:after="0" w:line="104" w:lineRule="exact"/>
        <w:rPr>
          <w:sz w:val="20"/>
          <w:szCs w:val="20"/>
          <w:color w:val="auto"/>
        </w:rPr>
      </w:pPr>
    </w:p>
    <w:p>
      <w:pPr>
        <w:ind w:left="4" w:right="80" w:firstLine="440"/>
        <w:spacing w:after="0" w:line="271"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for fiscal years 2022, 2021 and 2020.</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160" w:type="dxa"/>
            <w:vAlign w:val="bottom"/>
            <w:shd w:val="clear" w:color="auto" w:fill="FF0C07"/>
          </w:tcPr>
          <w:p>
            <w:pPr>
              <w:spacing w:after="0"/>
              <w:rPr>
                <w:sz w:val="14"/>
                <w:szCs w:val="14"/>
                <w:color w:val="auto"/>
              </w:rPr>
            </w:pPr>
          </w:p>
        </w:tc>
        <w:tc>
          <w:tcPr>
            <w:tcW w:w="1740" w:type="dxa"/>
            <w:vAlign w:val="bottom"/>
            <w:shd w:val="clear" w:color="auto" w:fill="FF0C07"/>
          </w:tcPr>
          <w:p>
            <w:pPr>
              <w:spacing w:after="0"/>
              <w:rPr>
                <w:sz w:val="14"/>
                <w:szCs w:val="14"/>
                <w:color w:val="auto"/>
              </w:rPr>
            </w:pPr>
          </w:p>
        </w:tc>
        <w:tc>
          <w:tcPr>
            <w:tcW w:w="880" w:type="dxa"/>
            <w:vAlign w:val="bottom"/>
            <w:shd w:val="clear" w:color="auto" w:fill="FF0C07"/>
          </w:tcPr>
          <w:p>
            <w:pPr>
              <w:spacing w:after="0"/>
              <w:rPr>
                <w:sz w:val="14"/>
                <w:szCs w:val="14"/>
                <w:color w:val="auto"/>
              </w:rPr>
            </w:pPr>
          </w:p>
        </w:tc>
        <w:tc>
          <w:tcPr>
            <w:tcW w:w="1400" w:type="dxa"/>
            <w:vAlign w:val="bottom"/>
            <w:shd w:val="clear" w:color="auto" w:fill="FF0C07"/>
          </w:tcPr>
          <w:p>
            <w:pPr>
              <w:spacing w:after="0"/>
              <w:rPr>
                <w:sz w:val="14"/>
                <w:szCs w:val="14"/>
                <w:color w:val="auto"/>
              </w:rPr>
            </w:pPr>
          </w:p>
        </w:tc>
        <w:tc>
          <w:tcPr>
            <w:tcW w:w="134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Non-Equity</w:t>
            </w:r>
          </w:p>
        </w:tc>
        <w:tc>
          <w:tcPr>
            <w:tcW w:w="1560" w:type="dxa"/>
            <w:vAlign w:val="bottom"/>
            <w:shd w:val="clear" w:color="auto" w:fill="FF0C07"/>
          </w:tcPr>
          <w:p>
            <w:pPr>
              <w:spacing w:after="0"/>
              <w:rPr>
                <w:sz w:val="14"/>
                <w:szCs w:val="14"/>
                <w:color w:val="auto"/>
              </w:rPr>
            </w:pPr>
          </w:p>
        </w:tc>
        <w:tc>
          <w:tcPr>
            <w:tcW w:w="940" w:type="dxa"/>
            <w:vAlign w:val="bottom"/>
            <w:shd w:val="clear" w:color="auto" w:fill="FF0C07"/>
          </w:tcPr>
          <w:p>
            <w:pPr>
              <w:spacing w:after="0"/>
              <w:rPr>
                <w:sz w:val="14"/>
                <w:szCs w:val="14"/>
                <w:color w:val="auto"/>
              </w:rPr>
            </w:pPr>
          </w:p>
        </w:tc>
      </w:tr>
      <w:tr>
        <w:trPr>
          <w:trHeight w:val="162"/>
        </w:trPr>
        <w:tc>
          <w:tcPr>
            <w:tcW w:w="3160" w:type="dxa"/>
            <w:vAlign w:val="bottom"/>
            <w:shd w:val="clear" w:color="auto" w:fill="FF0C07"/>
          </w:tcPr>
          <w:p>
            <w:pPr>
              <w:spacing w:after="0"/>
              <w:rPr>
                <w:sz w:val="14"/>
                <w:szCs w:val="14"/>
                <w:color w:val="auto"/>
              </w:rPr>
            </w:pPr>
          </w:p>
        </w:tc>
        <w:tc>
          <w:tcPr>
            <w:tcW w:w="1740" w:type="dxa"/>
            <w:vAlign w:val="bottom"/>
            <w:shd w:val="clear" w:color="auto" w:fill="FF0C07"/>
          </w:tcPr>
          <w:p>
            <w:pPr>
              <w:spacing w:after="0"/>
              <w:rPr>
                <w:sz w:val="14"/>
                <w:szCs w:val="14"/>
                <w:color w:val="auto"/>
              </w:rPr>
            </w:pPr>
          </w:p>
        </w:tc>
        <w:tc>
          <w:tcPr>
            <w:tcW w:w="880" w:type="dxa"/>
            <w:vAlign w:val="bottom"/>
            <w:shd w:val="clear" w:color="auto" w:fill="FF0C07"/>
          </w:tcPr>
          <w:p>
            <w:pPr>
              <w:spacing w:after="0"/>
              <w:rPr>
                <w:sz w:val="14"/>
                <w:szCs w:val="14"/>
                <w:color w:val="auto"/>
              </w:rPr>
            </w:pPr>
          </w:p>
        </w:tc>
        <w:tc>
          <w:tcPr>
            <w:tcW w:w="1400" w:type="dxa"/>
            <w:vAlign w:val="bottom"/>
            <w:shd w:val="clear" w:color="auto" w:fill="FF0C07"/>
          </w:tcPr>
          <w:p>
            <w:pPr>
              <w:jc w:val="right"/>
              <w:ind w:right="616"/>
              <w:spacing w:after="0"/>
              <w:rPr>
                <w:sz w:val="20"/>
                <w:szCs w:val="20"/>
                <w:color w:val="auto"/>
              </w:rPr>
            </w:pPr>
            <w:r>
              <w:rPr>
                <w:rFonts w:ascii="Arial" w:cs="Arial" w:eastAsia="Arial" w:hAnsi="Arial"/>
                <w:sz w:val="14"/>
                <w:szCs w:val="14"/>
                <w:b w:val="1"/>
                <w:bCs w:val="1"/>
                <w:color w:val="FFFFFF"/>
              </w:rPr>
              <w:t>Stock</w:t>
            </w:r>
          </w:p>
        </w:tc>
        <w:tc>
          <w:tcPr>
            <w:tcW w:w="1340" w:type="dxa"/>
            <w:vAlign w:val="bottom"/>
            <w:shd w:val="clear" w:color="auto" w:fill="FF0C07"/>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560" w:type="dxa"/>
            <w:vAlign w:val="bottom"/>
            <w:shd w:val="clear" w:color="auto" w:fill="FF0C07"/>
          </w:tcPr>
          <w:p>
            <w:pPr>
              <w:jc w:val="center"/>
              <w:ind w:right="174"/>
              <w:spacing w:after="0"/>
              <w:rPr>
                <w:sz w:val="20"/>
                <w:szCs w:val="20"/>
                <w:color w:val="auto"/>
              </w:rPr>
            </w:pPr>
            <w:r>
              <w:rPr>
                <w:rFonts w:ascii="Arial" w:cs="Arial" w:eastAsia="Arial" w:hAnsi="Arial"/>
                <w:sz w:val="14"/>
                <w:szCs w:val="14"/>
                <w:b w:val="1"/>
                <w:bCs w:val="1"/>
                <w:color w:val="FFFFFF"/>
              </w:rPr>
              <w:t>All Other</w:t>
            </w:r>
          </w:p>
        </w:tc>
        <w:tc>
          <w:tcPr>
            <w:tcW w:w="940" w:type="dxa"/>
            <w:vAlign w:val="bottom"/>
            <w:shd w:val="clear" w:color="auto" w:fill="FF0C07"/>
          </w:tcPr>
          <w:p>
            <w:pPr>
              <w:spacing w:after="0"/>
              <w:rPr>
                <w:sz w:val="14"/>
                <w:szCs w:val="14"/>
                <w:color w:val="auto"/>
              </w:rPr>
            </w:pPr>
          </w:p>
        </w:tc>
      </w:tr>
      <w:tr>
        <w:trPr>
          <w:trHeight w:val="158"/>
        </w:trPr>
        <w:tc>
          <w:tcPr>
            <w:tcW w:w="3160" w:type="dxa"/>
            <w:vAlign w:val="bottom"/>
            <w:shd w:val="clear" w:color="auto" w:fill="FF0C07"/>
          </w:tcPr>
          <w:p>
            <w:pPr>
              <w:spacing w:after="0"/>
              <w:rPr>
                <w:sz w:val="13"/>
                <w:szCs w:val="13"/>
                <w:color w:val="auto"/>
              </w:rPr>
            </w:pPr>
          </w:p>
        </w:tc>
        <w:tc>
          <w:tcPr>
            <w:tcW w:w="1740" w:type="dxa"/>
            <w:vAlign w:val="bottom"/>
            <w:shd w:val="clear" w:color="auto" w:fill="FF0C07"/>
          </w:tcPr>
          <w:p>
            <w:pPr>
              <w:spacing w:after="0"/>
              <w:rPr>
                <w:sz w:val="13"/>
                <w:szCs w:val="13"/>
                <w:color w:val="auto"/>
              </w:rPr>
            </w:pPr>
          </w:p>
        </w:tc>
        <w:tc>
          <w:tcPr>
            <w:tcW w:w="880" w:type="dxa"/>
            <w:vAlign w:val="bottom"/>
            <w:shd w:val="clear" w:color="auto" w:fill="FF0C07"/>
          </w:tcPr>
          <w:p>
            <w:pPr>
              <w:jc w:val="right"/>
              <w:ind w:right="168"/>
              <w:spacing w:after="0" w:line="158" w:lineRule="exact"/>
              <w:rPr>
                <w:sz w:val="20"/>
                <w:szCs w:val="20"/>
                <w:color w:val="auto"/>
              </w:rPr>
            </w:pPr>
            <w:r>
              <w:rPr>
                <w:rFonts w:ascii="Arial" w:cs="Arial" w:eastAsia="Arial" w:hAnsi="Arial"/>
                <w:sz w:val="14"/>
                <w:szCs w:val="14"/>
                <w:b w:val="1"/>
                <w:bCs w:val="1"/>
                <w:color w:val="FFFFFF"/>
              </w:rPr>
              <w:t>Salary</w:t>
            </w:r>
          </w:p>
        </w:tc>
        <w:tc>
          <w:tcPr>
            <w:tcW w:w="1400" w:type="dxa"/>
            <w:vAlign w:val="bottom"/>
            <w:shd w:val="clear" w:color="auto" w:fill="FF0C07"/>
          </w:tcPr>
          <w:p>
            <w:pPr>
              <w:ind w:left="260"/>
              <w:spacing w:after="0" w:line="158" w:lineRule="exact"/>
              <w:rPr>
                <w:sz w:val="20"/>
                <w:szCs w:val="20"/>
                <w:color w:val="auto"/>
              </w:rPr>
            </w:pPr>
            <w:r>
              <w:rPr>
                <w:rFonts w:ascii="Arial" w:cs="Arial" w:eastAsia="Arial" w:hAnsi="Arial"/>
                <w:sz w:val="14"/>
                <w:szCs w:val="14"/>
                <w:b w:val="1"/>
                <w:bCs w:val="1"/>
                <w:color w:val="FFFFFF"/>
              </w:rPr>
              <w:t>Awards</w:t>
            </w:r>
          </w:p>
        </w:tc>
        <w:tc>
          <w:tcPr>
            <w:tcW w:w="1340" w:type="dxa"/>
            <w:vAlign w:val="bottom"/>
            <w:shd w:val="clear" w:color="auto" w:fill="FF0C07"/>
          </w:tcPr>
          <w:p>
            <w:pPr>
              <w:jc w:val="center"/>
              <w:spacing w:after="0" w:line="158" w:lineRule="exact"/>
              <w:rPr>
                <w:sz w:val="20"/>
                <w:szCs w:val="20"/>
                <w:color w:val="auto"/>
              </w:rPr>
            </w:pPr>
            <w:r>
              <w:rPr>
                <w:rFonts w:ascii="Arial" w:cs="Arial" w:eastAsia="Arial" w:hAnsi="Arial"/>
                <w:sz w:val="14"/>
                <w:szCs w:val="14"/>
                <w:b w:val="1"/>
                <w:bCs w:val="1"/>
                <w:color w:val="FFFFFF"/>
              </w:rPr>
              <w:t>Compensation</w:t>
            </w:r>
          </w:p>
        </w:tc>
        <w:tc>
          <w:tcPr>
            <w:tcW w:w="1560" w:type="dxa"/>
            <w:vAlign w:val="bottom"/>
            <w:shd w:val="clear" w:color="auto" w:fill="FF0C07"/>
          </w:tcPr>
          <w:p>
            <w:pPr>
              <w:jc w:val="center"/>
              <w:ind w:right="174"/>
              <w:spacing w:after="0" w:line="158" w:lineRule="exact"/>
              <w:rPr>
                <w:sz w:val="20"/>
                <w:szCs w:val="20"/>
                <w:color w:val="auto"/>
              </w:rPr>
            </w:pPr>
            <w:r>
              <w:rPr>
                <w:rFonts w:ascii="Arial" w:cs="Arial" w:eastAsia="Arial" w:hAnsi="Arial"/>
                <w:sz w:val="14"/>
                <w:szCs w:val="14"/>
                <w:b w:val="1"/>
                <w:bCs w:val="1"/>
                <w:color w:val="FFFFFF"/>
              </w:rPr>
              <w:t>Compensation</w:t>
            </w:r>
          </w:p>
        </w:tc>
        <w:tc>
          <w:tcPr>
            <w:tcW w:w="940" w:type="dxa"/>
            <w:vAlign w:val="bottom"/>
            <w:shd w:val="clear" w:color="auto" w:fill="FF0C07"/>
          </w:tcPr>
          <w:p>
            <w:pPr>
              <w:jc w:val="right"/>
              <w:ind w:right="188"/>
              <w:spacing w:after="0" w:line="158" w:lineRule="exact"/>
              <w:rPr>
                <w:sz w:val="20"/>
                <w:szCs w:val="20"/>
                <w:color w:val="auto"/>
              </w:rPr>
            </w:pPr>
            <w:r>
              <w:rPr>
                <w:rFonts w:ascii="Arial" w:cs="Arial" w:eastAsia="Arial" w:hAnsi="Arial"/>
                <w:sz w:val="14"/>
                <w:szCs w:val="14"/>
                <w:b w:val="1"/>
                <w:bCs w:val="1"/>
                <w:color w:val="FFFFFF"/>
              </w:rPr>
              <w:t>Total</w:t>
            </w:r>
          </w:p>
        </w:tc>
      </w:tr>
      <w:tr>
        <w:trPr>
          <w:trHeight w:val="189"/>
        </w:trPr>
        <w:tc>
          <w:tcPr>
            <w:tcW w:w="3160" w:type="dxa"/>
            <w:vAlign w:val="bottom"/>
            <w:shd w:val="clear" w:color="auto" w:fill="FF0C07"/>
          </w:tcPr>
          <w:p>
            <w:pPr>
              <w:spacing w:after="0"/>
              <w:rPr>
                <w:sz w:val="20"/>
                <w:szCs w:val="20"/>
                <w:color w:val="auto"/>
              </w:rPr>
            </w:pPr>
            <w:r>
              <w:rPr>
                <w:rFonts w:ascii="Arial" w:cs="Arial" w:eastAsia="Arial" w:hAnsi="Arial"/>
                <w:sz w:val="14"/>
                <w:szCs w:val="14"/>
                <w:b w:val="1"/>
                <w:bCs w:val="1"/>
                <w:color w:val="FFFFFF"/>
              </w:rPr>
              <w:t>Name and Principal Position</w:t>
            </w:r>
          </w:p>
        </w:tc>
        <w:tc>
          <w:tcPr>
            <w:tcW w:w="1740" w:type="dxa"/>
            <w:vAlign w:val="bottom"/>
            <w:shd w:val="clear" w:color="auto" w:fill="FF0C07"/>
          </w:tcPr>
          <w:p>
            <w:pPr>
              <w:ind w:left="1220"/>
              <w:spacing w:after="0"/>
              <w:rPr>
                <w:sz w:val="20"/>
                <w:szCs w:val="20"/>
                <w:color w:val="auto"/>
              </w:rPr>
            </w:pPr>
            <w:r>
              <w:rPr>
                <w:rFonts w:ascii="Arial" w:cs="Arial" w:eastAsia="Arial" w:hAnsi="Arial"/>
                <w:sz w:val="14"/>
                <w:szCs w:val="14"/>
                <w:b w:val="1"/>
                <w:bCs w:val="1"/>
                <w:color w:val="FFFFFF"/>
              </w:rPr>
              <w:t>Year</w:t>
            </w:r>
          </w:p>
        </w:tc>
        <w:tc>
          <w:tcPr>
            <w:tcW w:w="880" w:type="dxa"/>
            <w:vAlign w:val="bottom"/>
            <w:shd w:val="clear" w:color="auto" w:fill="FF0C07"/>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FF0C07"/>
          </w:tcPr>
          <w:p>
            <w:pPr>
              <w:jc w:val="right"/>
              <w:ind w:right="656"/>
              <w:spacing w:after="0" w:line="189"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9"/>
                <w:szCs w:val="9"/>
                <w:b w:val="1"/>
                <w:bCs w:val="1"/>
                <w:color w:val="FFFFFF"/>
              </w:rPr>
              <w:t>(1)</w:t>
            </w:r>
          </w:p>
        </w:tc>
        <w:tc>
          <w:tcPr>
            <w:tcW w:w="1340" w:type="dxa"/>
            <w:vAlign w:val="bottom"/>
            <w:shd w:val="clear" w:color="auto" w:fill="FF0C07"/>
          </w:tcPr>
          <w:p>
            <w:pPr>
              <w:jc w:val="center"/>
              <w:spacing w:after="0" w:line="189"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9"/>
                <w:szCs w:val="9"/>
                <w:b w:val="1"/>
                <w:bCs w:val="1"/>
                <w:color w:val="FFFFFF"/>
              </w:rPr>
              <w:t>(2)</w:t>
            </w:r>
          </w:p>
        </w:tc>
        <w:tc>
          <w:tcPr>
            <w:tcW w:w="1560" w:type="dxa"/>
            <w:vAlign w:val="bottom"/>
            <w:shd w:val="clear" w:color="auto" w:fill="FF0C07"/>
          </w:tcPr>
          <w:p>
            <w:pPr>
              <w:jc w:val="center"/>
              <w:ind w:right="154"/>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FF0C07"/>
          </w:tcPr>
          <w:p>
            <w:pPr>
              <w:jc w:val="right"/>
              <w:ind w:right="268"/>
              <w:spacing w:after="0"/>
              <w:rPr>
                <w:sz w:val="20"/>
                <w:szCs w:val="20"/>
                <w:color w:val="auto"/>
              </w:rPr>
            </w:pPr>
            <w:r>
              <w:rPr>
                <w:rFonts w:ascii="Arial" w:cs="Arial" w:eastAsia="Arial" w:hAnsi="Arial"/>
                <w:sz w:val="14"/>
                <w:szCs w:val="14"/>
                <w:b w:val="1"/>
                <w:bCs w:val="1"/>
                <w:color w:val="FFFFFF"/>
              </w:rPr>
              <w:t>($)</w:t>
            </w: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b w:val="1"/>
                <w:bCs w:val="1"/>
                <w:color w:val="auto"/>
              </w:rPr>
              <w:t>Sumedh S. Thakar</w:t>
            </w:r>
          </w:p>
        </w:tc>
        <w:tc>
          <w:tcPr>
            <w:tcW w:w="1740" w:type="dxa"/>
            <w:vAlign w:val="bottom"/>
          </w:tcPr>
          <w:p>
            <w:pPr>
              <w:ind w:left="1220"/>
              <w:spacing w:after="0" w:line="149" w:lineRule="exact"/>
              <w:rPr>
                <w:sz w:val="20"/>
                <w:szCs w:val="20"/>
                <w:color w:val="auto"/>
              </w:rPr>
            </w:pPr>
            <w:r>
              <w:rPr>
                <w:rFonts w:ascii="Arial" w:cs="Arial" w:eastAsia="Arial" w:hAnsi="Arial"/>
                <w:sz w:val="14"/>
                <w:szCs w:val="14"/>
                <w:color w:val="auto"/>
              </w:rPr>
              <w:t>2022</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550,000</w:t>
            </w:r>
          </w:p>
        </w:tc>
        <w:tc>
          <w:tcPr>
            <w:tcW w:w="1400" w:type="dxa"/>
            <w:vAlign w:val="bottom"/>
          </w:tcPr>
          <w:p>
            <w:pPr>
              <w:jc w:val="right"/>
              <w:ind w:right="156"/>
              <w:spacing w:after="0" w:line="149" w:lineRule="exact"/>
              <w:rPr>
                <w:sz w:val="20"/>
                <w:szCs w:val="20"/>
                <w:color w:val="auto"/>
              </w:rPr>
            </w:pPr>
            <w:r>
              <w:rPr>
                <w:rFonts w:ascii="Arial" w:cs="Arial" w:eastAsia="Arial" w:hAnsi="Arial"/>
                <w:sz w:val="12"/>
                <w:szCs w:val="12"/>
                <w:color w:val="auto"/>
              </w:rPr>
              <w:t>10,361,307</w:t>
            </w:r>
            <w:r>
              <w:rPr>
                <w:rFonts w:ascii="Arial" w:cs="Arial" w:eastAsia="Arial" w:hAnsi="Arial"/>
                <w:sz w:val="17"/>
                <w:szCs w:val="17"/>
                <w:color w:val="auto"/>
                <w:vertAlign w:val="superscript"/>
              </w:rPr>
              <w:t>(3)(4)</w:t>
            </w:r>
          </w:p>
        </w:tc>
        <w:tc>
          <w:tcPr>
            <w:tcW w:w="1340" w:type="dxa"/>
            <w:vAlign w:val="bottom"/>
          </w:tcPr>
          <w:p>
            <w:pPr>
              <w:jc w:val="right"/>
              <w:ind w:right="90"/>
              <w:spacing w:after="0" w:line="149" w:lineRule="exact"/>
              <w:rPr>
                <w:sz w:val="20"/>
                <w:szCs w:val="20"/>
                <w:color w:val="auto"/>
              </w:rPr>
            </w:pPr>
            <w:r>
              <w:rPr>
                <w:rFonts w:ascii="Arial" w:cs="Arial" w:eastAsia="Arial" w:hAnsi="Arial"/>
                <w:sz w:val="14"/>
                <w:szCs w:val="14"/>
                <w:color w:val="auto"/>
              </w:rPr>
              <w:t>467,570</w:t>
            </w:r>
          </w:p>
        </w:tc>
        <w:tc>
          <w:tcPr>
            <w:tcW w:w="1560" w:type="dxa"/>
            <w:vAlign w:val="bottom"/>
          </w:tcPr>
          <w:p>
            <w:pPr>
              <w:jc w:val="right"/>
              <w:ind w:right="194"/>
              <w:spacing w:after="0" w:line="149" w:lineRule="exact"/>
              <w:rPr>
                <w:sz w:val="20"/>
                <w:szCs w:val="20"/>
                <w:color w:val="auto"/>
              </w:rPr>
            </w:pPr>
            <w:r>
              <w:rPr>
                <w:rFonts w:ascii="Arial" w:cs="Arial" w:eastAsia="Arial" w:hAnsi="Arial"/>
                <w:sz w:val="12"/>
                <w:szCs w:val="12"/>
                <w:color w:val="auto"/>
              </w:rPr>
              <w:t>13,676</w:t>
            </w:r>
            <w:r>
              <w:rPr>
                <w:rFonts w:ascii="Arial" w:cs="Arial" w:eastAsia="Arial" w:hAnsi="Arial"/>
                <w:sz w:val="17"/>
                <w:szCs w:val="17"/>
                <w:color w:val="auto"/>
                <w:vertAlign w:val="superscript"/>
              </w:rPr>
              <w:t>(5)</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11,392,553</w:t>
            </w:r>
          </w:p>
        </w:tc>
      </w:tr>
      <w:tr>
        <w:trPr>
          <w:trHeight w:val="166"/>
        </w:trPr>
        <w:tc>
          <w:tcPr>
            <w:tcW w:w="3160" w:type="dxa"/>
            <w:vAlign w:val="bottom"/>
          </w:tcPr>
          <w:p>
            <w:pPr>
              <w:ind w:left="280"/>
              <w:spacing w:after="0"/>
              <w:rPr>
                <w:sz w:val="20"/>
                <w:szCs w:val="20"/>
                <w:color w:val="auto"/>
              </w:rPr>
            </w:pPr>
            <w:r>
              <w:rPr>
                <w:rFonts w:ascii="Arial" w:cs="Arial" w:eastAsia="Arial" w:hAnsi="Arial"/>
                <w:sz w:val="14"/>
                <w:szCs w:val="14"/>
                <w:color w:val="auto"/>
              </w:rPr>
              <w:t>Director, President and</w:t>
            </w:r>
          </w:p>
        </w:tc>
        <w:tc>
          <w:tcPr>
            <w:tcW w:w="1740" w:type="dxa"/>
            <w:vAlign w:val="bottom"/>
          </w:tcPr>
          <w:p>
            <w:pPr>
              <w:ind w:left="1220"/>
              <w:spacing w:after="0"/>
              <w:rPr>
                <w:sz w:val="20"/>
                <w:szCs w:val="20"/>
                <w:color w:val="auto"/>
              </w:rPr>
            </w:pPr>
            <w:r>
              <w:rPr>
                <w:rFonts w:ascii="Arial" w:cs="Arial" w:eastAsia="Arial" w:hAnsi="Arial"/>
                <w:sz w:val="14"/>
                <w:szCs w:val="14"/>
                <w:color w:val="auto"/>
              </w:rPr>
              <w:t>2021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502,308</w:t>
            </w:r>
          </w:p>
        </w:tc>
        <w:tc>
          <w:tcPr>
            <w:tcW w:w="1400" w:type="dxa"/>
            <w:vAlign w:val="bottom"/>
          </w:tcPr>
          <w:p>
            <w:pPr>
              <w:jc w:val="right"/>
              <w:ind w:right="296"/>
              <w:spacing w:after="0" w:line="166" w:lineRule="exact"/>
              <w:rPr>
                <w:sz w:val="20"/>
                <w:szCs w:val="20"/>
                <w:color w:val="auto"/>
              </w:rPr>
            </w:pPr>
            <w:r>
              <w:rPr>
                <w:rFonts w:ascii="Arial" w:cs="Arial" w:eastAsia="Arial" w:hAnsi="Arial"/>
                <w:sz w:val="13"/>
                <w:szCs w:val="13"/>
                <w:color w:val="auto"/>
              </w:rPr>
              <w:t>8,364,620</w:t>
            </w:r>
            <w:r>
              <w:rPr>
                <w:rFonts w:ascii="Arial" w:cs="Arial" w:eastAsia="Arial" w:hAnsi="Arial"/>
                <w:sz w:val="19"/>
                <w:szCs w:val="19"/>
                <w:color w:val="auto"/>
                <w:vertAlign w:val="superscript"/>
              </w:rPr>
              <w:t>(6)</w:t>
            </w:r>
          </w:p>
        </w:tc>
        <w:tc>
          <w:tcPr>
            <w:tcW w:w="1340" w:type="dxa"/>
            <w:vAlign w:val="bottom"/>
          </w:tcPr>
          <w:p>
            <w:pPr>
              <w:jc w:val="right"/>
              <w:ind w:right="90"/>
              <w:spacing w:after="0"/>
              <w:rPr>
                <w:sz w:val="20"/>
                <w:szCs w:val="20"/>
                <w:color w:val="auto"/>
              </w:rPr>
            </w:pPr>
            <w:r>
              <w:rPr>
                <w:rFonts w:ascii="Arial" w:cs="Arial" w:eastAsia="Arial" w:hAnsi="Arial"/>
                <w:sz w:val="14"/>
                <w:szCs w:val="14"/>
                <w:color w:val="auto"/>
              </w:rPr>
              <w:t>512,500</w:t>
            </w:r>
          </w:p>
        </w:tc>
        <w:tc>
          <w:tcPr>
            <w:tcW w:w="1560" w:type="dxa"/>
            <w:vAlign w:val="bottom"/>
          </w:tcPr>
          <w:p>
            <w:pPr>
              <w:jc w:val="right"/>
              <w:ind w:right="194"/>
              <w:spacing w:after="0" w:line="166" w:lineRule="exact"/>
              <w:rPr>
                <w:sz w:val="20"/>
                <w:szCs w:val="20"/>
                <w:color w:val="auto"/>
              </w:rPr>
            </w:pPr>
            <w:r>
              <w:rPr>
                <w:rFonts w:ascii="Arial" w:cs="Arial" w:eastAsia="Arial" w:hAnsi="Arial"/>
                <w:sz w:val="13"/>
                <w:szCs w:val="13"/>
                <w:color w:val="auto"/>
              </w:rPr>
              <w:t>17,237</w:t>
            </w:r>
            <w:r>
              <w:rPr>
                <w:rFonts w:ascii="Arial" w:cs="Arial" w:eastAsia="Arial" w:hAnsi="Arial"/>
                <w:sz w:val="19"/>
                <w:szCs w:val="19"/>
                <w:color w:val="auto"/>
                <w:vertAlign w:val="superscript"/>
              </w:rPr>
              <w:t>(7)</w:t>
            </w:r>
          </w:p>
        </w:tc>
        <w:tc>
          <w:tcPr>
            <w:tcW w:w="940" w:type="dxa"/>
            <w:vAlign w:val="bottom"/>
          </w:tcPr>
          <w:p>
            <w:pPr>
              <w:jc w:val="right"/>
              <w:spacing w:after="0"/>
              <w:rPr>
                <w:sz w:val="20"/>
                <w:szCs w:val="20"/>
                <w:color w:val="auto"/>
              </w:rPr>
            </w:pPr>
            <w:r>
              <w:rPr>
                <w:rFonts w:ascii="Arial" w:cs="Arial" w:eastAsia="Arial" w:hAnsi="Arial"/>
                <w:sz w:val="14"/>
                <w:szCs w:val="14"/>
                <w:color w:val="auto"/>
              </w:rPr>
              <w:t>9,396,664</w:t>
            </w:r>
          </w:p>
        </w:tc>
      </w:tr>
      <w:tr>
        <w:trPr>
          <w:trHeight w:val="171"/>
        </w:trPr>
        <w:tc>
          <w:tcPr>
            <w:tcW w:w="3160" w:type="dxa"/>
            <w:vAlign w:val="bottom"/>
            <w:tcBorders>
              <w:bottom w:val="single" w:sz="8" w:color="FF0C07"/>
            </w:tcBorders>
          </w:tcPr>
          <w:p>
            <w:pPr>
              <w:ind w:left="280"/>
              <w:spacing w:after="0"/>
              <w:rPr>
                <w:sz w:val="20"/>
                <w:szCs w:val="20"/>
                <w:color w:val="auto"/>
              </w:rPr>
            </w:pPr>
            <w:r>
              <w:rPr>
                <w:rFonts w:ascii="Arial" w:cs="Arial" w:eastAsia="Arial" w:hAnsi="Arial"/>
                <w:sz w:val="14"/>
                <w:szCs w:val="14"/>
                <w:color w:val="auto"/>
              </w:rPr>
              <w:t>Chief Executive Officer</w:t>
            </w:r>
          </w:p>
        </w:tc>
        <w:tc>
          <w:tcPr>
            <w:tcW w:w="1740" w:type="dxa"/>
            <w:vAlign w:val="bottom"/>
            <w:tcBorders>
              <w:bottom w:val="single" w:sz="8" w:color="FF0C07"/>
            </w:tcBorders>
          </w:tcPr>
          <w:p>
            <w:pPr>
              <w:ind w:left="1220"/>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FF0C07"/>
            </w:tcBorders>
          </w:tcPr>
          <w:p>
            <w:pPr>
              <w:jc w:val="right"/>
              <w:ind w:right="108"/>
              <w:spacing w:after="0"/>
              <w:rPr>
                <w:sz w:val="20"/>
                <w:szCs w:val="20"/>
                <w:color w:val="auto"/>
              </w:rPr>
            </w:pPr>
            <w:r>
              <w:rPr>
                <w:rFonts w:ascii="Arial" w:cs="Arial" w:eastAsia="Arial" w:hAnsi="Arial"/>
                <w:sz w:val="14"/>
                <w:szCs w:val="14"/>
                <w:color w:val="auto"/>
              </w:rPr>
              <w:t>382,500</w:t>
            </w:r>
          </w:p>
        </w:tc>
        <w:tc>
          <w:tcPr>
            <w:tcW w:w="1400" w:type="dxa"/>
            <w:vAlign w:val="bottom"/>
            <w:tcBorders>
              <w:bottom w:val="single" w:sz="8" w:color="FF0C07"/>
            </w:tcBorders>
          </w:tcPr>
          <w:p>
            <w:pPr>
              <w:jc w:val="right"/>
              <w:ind w:right="416"/>
              <w:spacing w:after="0"/>
              <w:rPr>
                <w:sz w:val="20"/>
                <w:szCs w:val="20"/>
                <w:color w:val="auto"/>
              </w:rPr>
            </w:pPr>
            <w:r>
              <w:rPr>
                <w:rFonts w:ascii="Arial" w:cs="Arial" w:eastAsia="Arial" w:hAnsi="Arial"/>
                <w:sz w:val="14"/>
                <w:szCs w:val="14"/>
                <w:color w:val="auto"/>
              </w:rPr>
              <w:t>7,786,016</w:t>
            </w:r>
          </w:p>
        </w:tc>
        <w:tc>
          <w:tcPr>
            <w:tcW w:w="1340" w:type="dxa"/>
            <w:vAlign w:val="bottom"/>
            <w:tcBorders>
              <w:bottom w:val="single" w:sz="8" w:color="FF0C07"/>
            </w:tcBorders>
          </w:tcPr>
          <w:p>
            <w:pPr>
              <w:jc w:val="right"/>
              <w:ind w:right="90"/>
              <w:spacing w:after="0"/>
              <w:rPr>
                <w:sz w:val="20"/>
                <w:szCs w:val="20"/>
                <w:color w:val="auto"/>
              </w:rPr>
            </w:pPr>
            <w:r>
              <w:rPr>
                <w:rFonts w:ascii="Arial" w:cs="Arial" w:eastAsia="Arial" w:hAnsi="Arial"/>
                <w:sz w:val="14"/>
                <w:szCs w:val="14"/>
                <w:color w:val="auto"/>
              </w:rPr>
              <w:t>189,662</w:t>
            </w:r>
          </w:p>
        </w:tc>
        <w:tc>
          <w:tcPr>
            <w:tcW w:w="1560" w:type="dxa"/>
            <w:vAlign w:val="bottom"/>
            <w:tcBorders>
              <w:bottom w:val="single" w:sz="8" w:color="FF0C07"/>
            </w:tcBorders>
          </w:tcPr>
          <w:p>
            <w:pPr>
              <w:jc w:val="right"/>
              <w:ind w:right="334"/>
              <w:spacing w:after="0"/>
              <w:rPr>
                <w:sz w:val="20"/>
                <w:szCs w:val="20"/>
                <w:color w:val="auto"/>
              </w:rPr>
            </w:pPr>
            <w:r>
              <w:rPr>
                <w:rFonts w:ascii="Arial" w:cs="Arial" w:eastAsia="Arial" w:hAnsi="Arial"/>
                <w:sz w:val="14"/>
                <w:szCs w:val="14"/>
                <w:color w:val="auto"/>
              </w:rPr>
              <w:t>9,991</w:t>
            </w:r>
          </w:p>
        </w:tc>
        <w:tc>
          <w:tcPr>
            <w:tcW w:w="940" w:type="dxa"/>
            <w:vAlign w:val="bottom"/>
            <w:tcBorders>
              <w:bottom w:val="single" w:sz="8" w:color="FF0C07"/>
            </w:tcBorders>
          </w:tcPr>
          <w:p>
            <w:pPr>
              <w:jc w:val="right"/>
              <w:spacing w:after="0"/>
              <w:rPr>
                <w:sz w:val="20"/>
                <w:szCs w:val="20"/>
                <w:color w:val="auto"/>
              </w:rPr>
            </w:pPr>
            <w:r>
              <w:rPr>
                <w:rFonts w:ascii="Arial" w:cs="Arial" w:eastAsia="Arial" w:hAnsi="Arial"/>
                <w:sz w:val="14"/>
                <w:szCs w:val="14"/>
                <w:color w:val="auto"/>
              </w:rPr>
              <w:t>8,368,169</w:t>
            </w:r>
          </w:p>
        </w:tc>
      </w:tr>
      <w:tr>
        <w:trPr>
          <w:trHeight w:val="142"/>
        </w:trPr>
        <w:tc>
          <w:tcPr>
            <w:tcW w:w="3160" w:type="dxa"/>
            <w:vAlign w:val="bottom"/>
          </w:tcPr>
          <w:p>
            <w:pPr>
              <w:spacing w:after="0" w:line="143" w:lineRule="exact"/>
              <w:rPr>
                <w:sz w:val="20"/>
                <w:szCs w:val="20"/>
                <w:color w:val="auto"/>
              </w:rPr>
            </w:pPr>
            <w:r>
              <w:rPr>
                <w:rFonts w:ascii="Arial" w:cs="Arial" w:eastAsia="Arial" w:hAnsi="Arial"/>
                <w:sz w:val="14"/>
                <w:szCs w:val="14"/>
                <w:b w:val="1"/>
                <w:bCs w:val="1"/>
                <w:color w:val="auto"/>
              </w:rPr>
              <w:t>Joo Mi Kim</w:t>
            </w:r>
          </w:p>
        </w:tc>
        <w:tc>
          <w:tcPr>
            <w:tcW w:w="1740" w:type="dxa"/>
            <w:vAlign w:val="bottom"/>
          </w:tcPr>
          <w:p>
            <w:pPr>
              <w:ind w:left="1220"/>
              <w:spacing w:after="0" w:line="143" w:lineRule="exact"/>
              <w:rPr>
                <w:sz w:val="20"/>
                <w:szCs w:val="20"/>
                <w:color w:val="auto"/>
              </w:rPr>
            </w:pPr>
            <w:r>
              <w:rPr>
                <w:rFonts w:ascii="Arial" w:cs="Arial" w:eastAsia="Arial" w:hAnsi="Arial"/>
                <w:sz w:val="14"/>
                <w:szCs w:val="14"/>
                <w:color w:val="auto"/>
              </w:rPr>
              <w:t>2022</w:t>
            </w:r>
          </w:p>
        </w:tc>
        <w:tc>
          <w:tcPr>
            <w:tcW w:w="880" w:type="dxa"/>
            <w:vAlign w:val="bottom"/>
          </w:tcPr>
          <w:p>
            <w:pPr>
              <w:jc w:val="right"/>
              <w:ind w:right="108"/>
              <w:spacing w:after="0" w:line="143" w:lineRule="exact"/>
              <w:rPr>
                <w:sz w:val="20"/>
                <w:szCs w:val="20"/>
                <w:color w:val="auto"/>
              </w:rPr>
            </w:pPr>
            <w:r>
              <w:rPr>
                <w:rFonts w:ascii="Arial" w:cs="Arial" w:eastAsia="Arial" w:hAnsi="Arial"/>
                <w:sz w:val="14"/>
                <w:szCs w:val="14"/>
                <w:color w:val="auto"/>
              </w:rPr>
              <w:t>410,000</w:t>
            </w:r>
          </w:p>
        </w:tc>
        <w:tc>
          <w:tcPr>
            <w:tcW w:w="1400" w:type="dxa"/>
            <w:vAlign w:val="bottom"/>
          </w:tcPr>
          <w:p>
            <w:pPr>
              <w:jc w:val="right"/>
              <w:ind w:right="156"/>
              <w:spacing w:after="0" w:line="142" w:lineRule="exact"/>
              <w:rPr>
                <w:sz w:val="20"/>
                <w:szCs w:val="20"/>
                <w:color w:val="auto"/>
              </w:rPr>
            </w:pPr>
            <w:r>
              <w:rPr>
                <w:rFonts w:ascii="Arial" w:cs="Arial" w:eastAsia="Arial" w:hAnsi="Arial"/>
                <w:sz w:val="11"/>
                <w:szCs w:val="11"/>
                <w:color w:val="auto"/>
              </w:rPr>
              <w:t>5,069,403</w:t>
            </w:r>
            <w:r>
              <w:rPr>
                <w:rFonts w:ascii="Arial" w:cs="Arial" w:eastAsia="Arial" w:hAnsi="Arial"/>
                <w:sz w:val="16"/>
                <w:szCs w:val="16"/>
                <w:color w:val="auto"/>
                <w:vertAlign w:val="superscript"/>
              </w:rPr>
              <w:t>(4)(8)</w:t>
            </w:r>
          </w:p>
        </w:tc>
        <w:tc>
          <w:tcPr>
            <w:tcW w:w="1340" w:type="dxa"/>
            <w:vAlign w:val="bottom"/>
          </w:tcPr>
          <w:p>
            <w:pPr>
              <w:jc w:val="right"/>
              <w:ind w:right="90"/>
              <w:spacing w:after="0" w:line="143" w:lineRule="exact"/>
              <w:rPr>
                <w:sz w:val="20"/>
                <w:szCs w:val="20"/>
                <w:color w:val="auto"/>
              </w:rPr>
            </w:pPr>
            <w:r>
              <w:rPr>
                <w:rFonts w:ascii="Arial" w:cs="Arial" w:eastAsia="Arial" w:hAnsi="Arial"/>
                <w:sz w:val="14"/>
                <w:szCs w:val="14"/>
                <w:color w:val="auto"/>
              </w:rPr>
              <w:t>174,276</w:t>
            </w:r>
          </w:p>
        </w:tc>
        <w:tc>
          <w:tcPr>
            <w:tcW w:w="1560" w:type="dxa"/>
            <w:vAlign w:val="bottom"/>
          </w:tcPr>
          <w:p>
            <w:pPr>
              <w:jc w:val="right"/>
              <w:ind w:right="194"/>
              <w:spacing w:after="0" w:line="142" w:lineRule="exact"/>
              <w:rPr>
                <w:sz w:val="20"/>
                <w:szCs w:val="20"/>
                <w:color w:val="auto"/>
              </w:rPr>
            </w:pPr>
            <w:r>
              <w:rPr>
                <w:rFonts w:ascii="Arial" w:cs="Arial" w:eastAsia="Arial" w:hAnsi="Arial"/>
                <w:sz w:val="11"/>
                <w:szCs w:val="11"/>
                <w:color w:val="auto"/>
              </w:rPr>
              <w:t>19,306</w:t>
            </w:r>
            <w:r>
              <w:rPr>
                <w:rFonts w:ascii="Arial" w:cs="Arial" w:eastAsia="Arial" w:hAnsi="Arial"/>
                <w:sz w:val="16"/>
                <w:szCs w:val="16"/>
                <w:color w:val="auto"/>
                <w:vertAlign w:val="superscript"/>
              </w:rPr>
              <w:t>(9)</w:t>
            </w: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5,672,984</w:t>
            </w:r>
          </w:p>
        </w:tc>
      </w:tr>
      <w:tr>
        <w:trPr>
          <w:trHeight w:val="166"/>
        </w:trPr>
        <w:tc>
          <w:tcPr>
            <w:tcW w:w="3160" w:type="dxa"/>
            <w:vAlign w:val="bottom"/>
          </w:tcPr>
          <w:p>
            <w:pPr>
              <w:ind w:left="280"/>
              <w:spacing w:after="0"/>
              <w:rPr>
                <w:sz w:val="20"/>
                <w:szCs w:val="20"/>
                <w:color w:val="auto"/>
              </w:rPr>
            </w:pPr>
            <w:r>
              <w:rPr>
                <w:rFonts w:ascii="Arial" w:cs="Arial" w:eastAsia="Arial" w:hAnsi="Arial"/>
                <w:sz w:val="14"/>
                <w:szCs w:val="14"/>
                <w:color w:val="auto"/>
              </w:rPr>
              <w:t>Chief Financial Officer</w:t>
            </w:r>
          </w:p>
        </w:tc>
        <w:tc>
          <w:tcPr>
            <w:tcW w:w="1740" w:type="dxa"/>
            <w:vAlign w:val="bottom"/>
          </w:tcPr>
          <w:p>
            <w:pPr>
              <w:ind w:left="1220"/>
              <w:spacing w:after="0"/>
              <w:rPr>
                <w:sz w:val="20"/>
                <w:szCs w:val="20"/>
                <w:color w:val="auto"/>
              </w:rPr>
            </w:pPr>
            <w:r>
              <w:rPr>
                <w:rFonts w:ascii="Arial" w:cs="Arial" w:eastAsia="Arial" w:hAnsi="Arial"/>
                <w:sz w:val="14"/>
                <w:szCs w:val="14"/>
                <w:color w:val="auto"/>
              </w:rPr>
              <w:t>2021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351,667</w:t>
            </w:r>
          </w:p>
        </w:tc>
        <w:tc>
          <w:tcPr>
            <w:tcW w:w="1400" w:type="dxa"/>
            <w:vAlign w:val="bottom"/>
          </w:tcPr>
          <w:p>
            <w:pPr>
              <w:jc w:val="right"/>
              <w:ind w:right="236"/>
              <w:spacing w:after="0" w:line="166" w:lineRule="exact"/>
              <w:rPr>
                <w:sz w:val="20"/>
                <w:szCs w:val="20"/>
                <w:color w:val="auto"/>
              </w:rPr>
            </w:pPr>
            <w:r>
              <w:rPr>
                <w:rFonts w:ascii="Arial" w:cs="Arial" w:eastAsia="Arial" w:hAnsi="Arial"/>
                <w:sz w:val="13"/>
                <w:szCs w:val="13"/>
                <w:color w:val="auto"/>
              </w:rPr>
              <w:t>4,541,750</w:t>
            </w:r>
            <w:r>
              <w:rPr>
                <w:rFonts w:ascii="Arial" w:cs="Arial" w:eastAsia="Arial" w:hAnsi="Arial"/>
                <w:sz w:val="19"/>
                <w:szCs w:val="19"/>
                <w:color w:val="auto"/>
                <w:vertAlign w:val="superscript"/>
              </w:rPr>
              <w:t>(10)</w:t>
            </w:r>
          </w:p>
        </w:tc>
        <w:tc>
          <w:tcPr>
            <w:tcW w:w="1340" w:type="dxa"/>
            <w:vAlign w:val="bottom"/>
          </w:tcPr>
          <w:p>
            <w:pPr>
              <w:jc w:val="right"/>
              <w:ind w:right="90"/>
              <w:spacing w:after="0"/>
              <w:rPr>
                <w:sz w:val="20"/>
                <w:szCs w:val="20"/>
                <w:color w:val="auto"/>
              </w:rPr>
            </w:pPr>
            <w:r>
              <w:rPr>
                <w:rFonts w:ascii="Arial" w:cs="Arial" w:eastAsia="Arial" w:hAnsi="Arial"/>
                <w:sz w:val="14"/>
                <w:szCs w:val="14"/>
                <w:color w:val="auto"/>
              </w:rPr>
              <w:t>178,750</w:t>
            </w:r>
          </w:p>
        </w:tc>
        <w:tc>
          <w:tcPr>
            <w:tcW w:w="1560" w:type="dxa"/>
            <w:vAlign w:val="bottom"/>
          </w:tcPr>
          <w:p>
            <w:pPr>
              <w:jc w:val="right"/>
              <w:ind w:right="134"/>
              <w:spacing w:after="0" w:line="166" w:lineRule="exact"/>
              <w:rPr>
                <w:sz w:val="20"/>
                <w:szCs w:val="20"/>
                <w:color w:val="auto"/>
              </w:rPr>
            </w:pPr>
            <w:r>
              <w:rPr>
                <w:rFonts w:ascii="Arial" w:cs="Arial" w:eastAsia="Arial" w:hAnsi="Arial"/>
                <w:sz w:val="13"/>
                <w:szCs w:val="13"/>
                <w:color w:val="auto"/>
              </w:rPr>
              <w:t>16,282</w:t>
            </w:r>
            <w:r>
              <w:rPr>
                <w:rFonts w:ascii="Arial" w:cs="Arial" w:eastAsia="Arial" w:hAnsi="Arial"/>
                <w:sz w:val="19"/>
                <w:szCs w:val="19"/>
                <w:color w:val="auto"/>
                <w:vertAlign w:val="superscript"/>
              </w:rPr>
              <w:t>(11)</w:t>
            </w:r>
          </w:p>
        </w:tc>
        <w:tc>
          <w:tcPr>
            <w:tcW w:w="940" w:type="dxa"/>
            <w:vAlign w:val="bottom"/>
          </w:tcPr>
          <w:p>
            <w:pPr>
              <w:jc w:val="right"/>
              <w:spacing w:after="0"/>
              <w:rPr>
                <w:sz w:val="20"/>
                <w:szCs w:val="20"/>
                <w:color w:val="auto"/>
              </w:rPr>
            </w:pPr>
            <w:r>
              <w:rPr>
                <w:rFonts w:ascii="Arial" w:cs="Arial" w:eastAsia="Arial" w:hAnsi="Arial"/>
                <w:sz w:val="14"/>
                <w:szCs w:val="14"/>
                <w:color w:val="auto"/>
              </w:rPr>
              <w:t>5,088,449</w:t>
            </w:r>
          </w:p>
        </w:tc>
      </w:tr>
      <w:tr>
        <w:trPr>
          <w:trHeight w:val="171"/>
        </w:trPr>
        <w:tc>
          <w:tcPr>
            <w:tcW w:w="3160" w:type="dxa"/>
            <w:vAlign w:val="bottom"/>
            <w:tcBorders>
              <w:bottom w:val="single" w:sz="8" w:color="FF0C07"/>
            </w:tcBorders>
          </w:tcPr>
          <w:p>
            <w:pPr>
              <w:spacing w:after="0"/>
              <w:rPr>
                <w:sz w:val="14"/>
                <w:szCs w:val="14"/>
                <w:color w:val="auto"/>
              </w:rPr>
            </w:pPr>
          </w:p>
        </w:tc>
        <w:tc>
          <w:tcPr>
            <w:tcW w:w="1740" w:type="dxa"/>
            <w:vAlign w:val="bottom"/>
            <w:tcBorders>
              <w:bottom w:val="single" w:sz="8" w:color="FF0C07"/>
            </w:tcBorders>
          </w:tcPr>
          <w:p>
            <w:pPr>
              <w:ind w:left="1220"/>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FF0C07"/>
            </w:tcBorders>
          </w:tcPr>
          <w:p>
            <w:pPr>
              <w:jc w:val="right"/>
              <w:ind w:right="108"/>
              <w:spacing w:after="0"/>
              <w:rPr>
                <w:sz w:val="20"/>
                <w:szCs w:val="20"/>
                <w:color w:val="auto"/>
              </w:rPr>
            </w:pPr>
            <w:r>
              <w:rPr>
                <w:rFonts w:ascii="Arial" w:cs="Arial" w:eastAsia="Arial" w:hAnsi="Arial"/>
                <w:sz w:val="14"/>
                <w:szCs w:val="14"/>
                <w:color w:val="auto"/>
              </w:rPr>
              <w:t>169,167</w:t>
            </w:r>
          </w:p>
        </w:tc>
        <w:tc>
          <w:tcPr>
            <w:tcW w:w="1400" w:type="dxa"/>
            <w:vAlign w:val="bottom"/>
            <w:tcBorders>
              <w:bottom w:val="single" w:sz="8" w:color="FF0C07"/>
            </w:tcBorders>
          </w:tcPr>
          <w:p>
            <w:pPr>
              <w:jc w:val="right"/>
              <w:ind w:right="416"/>
              <w:spacing w:after="0"/>
              <w:rPr>
                <w:sz w:val="20"/>
                <w:szCs w:val="20"/>
                <w:color w:val="auto"/>
              </w:rPr>
            </w:pPr>
            <w:r>
              <w:rPr>
                <w:rFonts w:ascii="Arial" w:cs="Arial" w:eastAsia="Arial" w:hAnsi="Arial"/>
                <w:sz w:val="14"/>
                <w:szCs w:val="14"/>
                <w:color w:val="auto"/>
              </w:rPr>
              <w:t>5,583,069</w:t>
            </w:r>
          </w:p>
        </w:tc>
        <w:tc>
          <w:tcPr>
            <w:tcW w:w="1340" w:type="dxa"/>
            <w:vAlign w:val="bottom"/>
            <w:tcBorders>
              <w:bottom w:val="single" w:sz="8" w:color="FF0C07"/>
            </w:tcBorders>
          </w:tcPr>
          <w:p>
            <w:pPr>
              <w:jc w:val="right"/>
              <w:ind w:right="90"/>
              <w:spacing w:after="0"/>
              <w:rPr>
                <w:sz w:val="20"/>
                <w:szCs w:val="20"/>
                <w:color w:val="auto"/>
              </w:rPr>
            </w:pPr>
            <w:r>
              <w:rPr>
                <w:rFonts w:ascii="Arial" w:cs="Arial" w:eastAsia="Arial" w:hAnsi="Arial"/>
                <w:sz w:val="14"/>
                <w:szCs w:val="14"/>
                <w:color w:val="auto"/>
              </w:rPr>
              <w:t>83,750</w:t>
            </w:r>
          </w:p>
        </w:tc>
        <w:tc>
          <w:tcPr>
            <w:tcW w:w="1560" w:type="dxa"/>
            <w:vAlign w:val="bottom"/>
            <w:tcBorders>
              <w:bottom w:val="single" w:sz="8" w:color="FF0C07"/>
            </w:tcBorders>
          </w:tcPr>
          <w:p>
            <w:pPr>
              <w:jc w:val="right"/>
              <w:ind w:right="334"/>
              <w:spacing w:after="0"/>
              <w:rPr>
                <w:sz w:val="20"/>
                <w:szCs w:val="20"/>
                <w:color w:val="auto"/>
              </w:rPr>
            </w:pPr>
            <w:r>
              <w:rPr>
                <w:rFonts w:ascii="Arial" w:cs="Arial" w:eastAsia="Arial" w:hAnsi="Arial"/>
                <w:sz w:val="14"/>
                <w:szCs w:val="14"/>
                <w:color w:val="auto"/>
              </w:rPr>
              <w:t>25,467</w:t>
            </w:r>
          </w:p>
        </w:tc>
        <w:tc>
          <w:tcPr>
            <w:tcW w:w="940" w:type="dxa"/>
            <w:vAlign w:val="bottom"/>
            <w:tcBorders>
              <w:bottom w:val="single" w:sz="8" w:color="FF0C07"/>
            </w:tcBorders>
          </w:tcPr>
          <w:p>
            <w:pPr>
              <w:jc w:val="right"/>
              <w:spacing w:after="0"/>
              <w:rPr>
                <w:sz w:val="20"/>
                <w:szCs w:val="20"/>
                <w:color w:val="auto"/>
              </w:rPr>
            </w:pPr>
            <w:r>
              <w:rPr>
                <w:rFonts w:ascii="Arial" w:cs="Arial" w:eastAsia="Arial" w:hAnsi="Arial"/>
                <w:sz w:val="14"/>
                <w:szCs w:val="14"/>
                <w:color w:val="auto"/>
              </w:rPr>
              <w:t>5,861,453</w:t>
            </w:r>
          </w:p>
        </w:tc>
      </w:tr>
      <w:tr>
        <w:trPr>
          <w:trHeight w:val="142"/>
        </w:trPr>
        <w:tc>
          <w:tcPr>
            <w:tcW w:w="3160" w:type="dxa"/>
            <w:vAlign w:val="bottom"/>
          </w:tcPr>
          <w:p>
            <w:pPr>
              <w:spacing w:after="0" w:line="142" w:lineRule="exact"/>
              <w:rPr>
                <w:sz w:val="20"/>
                <w:szCs w:val="20"/>
                <w:color w:val="auto"/>
              </w:rPr>
            </w:pPr>
            <w:r>
              <w:rPr>
                <w:rFonts w:ascii="Arial" w:cs="Arial" w:eastAsia="Arial" w:hAnsi="Arial"/>
                <w:sz w:val="11"/>
                <w:szCs w:val="11"/>
                <w:b w:val="1"/>
                <w:bCs w:val="1"/>
                <w:color w:val="auto"/>
              </w:rPr>
              <w:t>Allan Peters</w:t>
            </w:r>
            <w:r>
              <w:rPr>
                <w:rFonts w:ascii="Arial" w:cs="Arial" w:eastAsia="Arial" w:hAnsi="Arial"/>
                <w:sz w:val="16"/>
                <w:szCs w:val="16"/>
                <w:color w:val="auto"/>
                <w:vertAlign w:val="superscript"/>
              </w:rPr>
              <w:t>(12)</w:t>
            </w:r>
          </w:p>
        </w:tc>
        <w:tc>
          <w:tcPr>
            <w:tcW w:w="1740" w:type="dxa"/>
            <w:vAlign w:val="bottom"/>
          </w:tcPr>
          <w:p>
            <w:pPr>
              <w:ind w:left="1220"/>
              <w:spacing w:after="0" w:line="143" w:lineRule="exact"/>
              <w:rPr>
                <w:sz w:val="20"/>
                <w:szCs w:val="20"/>
                <w:color w:val="auto"/>
              </w:rPr>
            </w:pPr>
            <w:r>
              <w:rPr>
                <w:rFonts w:ascii="Arial" w:cs="Arial" w:eastAsia="Arial" w:hAnsi="Arial"/>
                <w:sz w:val="14"/>
                <w:szCs w:val="14"/>
                <w:color w:val="auto"/>
              </w:rPr>
              <w:t>2022</w:t>
            </w:r>
          </w:p>
        </w:tc>
        <w:tc>
          <w:tcPr>
            <w:tcW w:w="880" w:type="dxa"/>
            <w:vAlign w:val="bottom"/>
          </w:tcPr>
          <w:p>
            <w:pPr>
              <w:jc w:val="right"/>
              <w:ind w:right="108"/>
              <w:spacing w:after="0" w:line="143" w:lineRule="exact"/>
              <w:rPr>
                <w:sz w:val="20"/>
                <w:szCs w:val="20"/>
                <w:color w:val="auto"/>
              </w:rPr>
            </w:pPr>
            <w:r>
              <w:rPr>
                <w:rFonts w:ascii="Arial" w:cs="Arial" w:eastAsia="Arial" w:hAnsi="Arial"/>
                <w:sz w:val="14"/>
                <w:szCs w:val="14"/>
                <w:color w:val="auto"/>
              </w:rPr>
              <w:t>323,769</w:t>
            </w:r>
          </w:p>
        </w:tc>
        <w:tc>
          <w:tcPr>
            <w:tcW w:w="1400" w:type="dxa"/>
            <w:vAlign w:val="bottom"/>
          </w:tcPr>
          <w:p>
            <w:pPr>
              <w:ind w:left="280"/>
              <w:spacing w:after="0" w:line="142" w:lineRule="exact"/>
              <w:rPr>
                <w:sz w:val="20"/>
                <w:szCs w:val="20"/>
                <w:color w:val="auto"/>
              </w:rPr>
            </w:pPr>
            <w:r>
              <w:rPr>
                <w:rFonts w:ascii="Arial" w:cs="Arial" w:eastAsia="Arial" w:hAnsi="Arial"/>
                <w:sz w:val="11"/>
                <w:szCs w:val="11"/>
                <w:color w:val="auto"/>
              </w:rPr>
              <w:t>3,854,273</w:t>
            </w:r>
            <w:r>
              <w:rPr>
                <w:rFonts w:ascii="Arial" w:cs="Arial" w:eastAsia="Arial" w:hAnsi="Arial"/>
                <w:sz w:val="16"/>
                <w:szCs w:val="16"/>
                <w:color w:val="auto"/>
                <w:vertAlign w:val="superscript"/>
              </w:rPr>
              <w:t>(4)(13)</w:t>
            </w:r>
          </w:p>
        </w:tc>
        <w:tc>
          <w:tcPr>
            <w:tcW w:w="1340" w:type="dxa"/>
            <w:vAlign w:val="bottom"/>
          </w:tcPr>
          <w:p>
            <w:pPr>
              <w:jc w:val="right"/>
              <w:ind w:right="170"/>
              <w:spacing w:after="0" w:line="143" w:lineRule="exact"/>
              <w:rPr>
                <w:sz w:val="20"/>
                <w:szCs w:val="20"/>
                <w:color w:val="auto"/>
              </w:rPr>
            </w:pPr>
            <w:r>
              <w:rPr>
                <w:rFonts w:ascii="Arial" w:cs="Arial" w:eastAsia="Arial" w:hAnsi="Arial"/>
                <w:sz w:val="14"/>
                <w:szCs w:val="14"/>
                <w:color w:val="auto"/>
              </w:rPr>
              <w:t>—</w:t>
            </w:r>
          </w:p>
        </w:tc>
        <w:tc>
          <w:tcPr>
            <w:tcW w:w="1560" w:type="dxa"/>
            <w:vAlign w:val="bottom"/>
          </w:tcPr>
          <w:p>
            <w:pPr>
              <w:jc w:val="right"/>
              <w:ind w:right="134"/>
              <w:spacing w:after="0" w:line="142" w:lineRule="exact"/>
              <w:rPr>
                <w:sz w:val="20"/>
                <w:szCs w:val="20"/>
                <w:color w:val="auto"/>
              </w:rPr>
            </w:pPr>
            <w:r>
              <w:rPr>
                <w:rFonts w:ascii="Arial" w:cs="Arial" w:eastAsia="Arial" w:hAnsi="Arial"/>
                <w:sz w:val="11"/>
                <w:szCs w:val="11"/>
                <w:color w:val="auto"/>
              </w:rPr>
              <w:t>14,616</w:t>
            </w:r>
            <w:r>
              <w:rPr>
                <w:rFonts w:ascii="Arial" w:cs="Arial" w:eastAsia="Arial" w:hAnsi="Arial"/>
                <w:sz w:val="16"/>
                <w:szCs w:val="16"/>
                <w:color w:val="auto"/>
                <w:vertAlign w:val="superscript"/>
              </w:rPr>
              <w:t>(14)</w:t>
            </w: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4,192,658</w:t>
            </w:r>
          </w:p>
        </w:tc>
      </w:tr>
      <w:tr>
        <w:trPr>
          <w:trHeight w:val="175"/>
        </w:trPr>
        <w:tc>
          <w:tcPr>
            <w:tcW w:w="3160" w:type="dxa"/>
            <w:vAlign w:val="bottom"/>
            <w:tcBorders>
              <w:bottom w:val="single" w:sz="8" w:color="FF0C07"/>
            </w:tcBorders>
          </w:tcPr>
          <w:p>
            <w:pPr>
              <w:ind w:left="280"/>
              <w:spacing w:after="0"/>
              <w:rPr>
                <w:sz w:val="20"/>
                <w:szCs w:val="20"/>
                <w:color w:val="auto"/>
              </w:rPr>
            </w:pPr>
            <w:r>
              <w:rPr>
                <w:rFonts w:ascii="Arial" w:cs="Arial" w:eastAsia="Arial" w:hAnsi="Arial"/>
                <w:sz w:val="14"/>
                <w:szCs w:val="14"/>
                <w:color w:val="auto"/>
              </w:rPr>
              <w:t>Chief Revenue Officer</w:t>
            </w:r>
          </w:p>
        </w:tc>
        <w:tc>
          <w:tcPr>
            <w:tcW w:w="1740" w:type="dxa"/>
            <w:vAlign w:val="bottom"/>
            <w:tcBorders>
              <w:bottom w:val="single" w:sz="8" w:color="FF0C07"/>
            </w:tcBorders>
          </w:tcPr>
          <w:p>
            <w:pPr>
              <w:ind w:left="1220"/>
              <w:spacing w:after="0"/>
              <w:rPr>
                <w:sz w:val="20"/>
                <w:szCs w:val="20"/>
                <w:color w:val="auto"/>
              </w:rPr>
            </w:pPr>
            <w:r>
              <w:rPr>
                <w:rFonts w:ascii="Arial" w:cs="Arial" w:eastAsia="Arial" w:hAnsi="Arial"/>
                <w:sz w:val="14"/>
                <w:szCs w:val="14"/>
                <w:color w:val="auto"/>
              </w:rPr>
              <w:t>2021</w:t>
            </w:r>
          </w:p>
        </w:tc>
        <w:tc>
          <w:tcPr>
            <w:tcW w:w="880" w:type="dxa"/>
            <w:vAlign w:val="bottom"/>
            <w:tcBorders>
              <w:bottom w:val="single" w:sz="8" w:color="FF0C07"/>
            </w:tcBorders>
          </w:tcPr>
          <w:p>
            <w:pPr>
              <w:jc w:val="right"/>
              <w:ind w:right="108"/>
              <w:spacing w:after="0"/>
              <w:rPr>
                <w:sz w:val="20"/>
                <w:szCs w:val="20"/>
                <w:color w:val="auto"/>
              </w:rPr>
            </w:pPr>
            <w:r>
              <w:rPr>
                <w:rFonts w:ascii="Arial" w:cs="Arial" w:eastAsia="Arial" w:hAnsi="Arial"/>
                <w:sz w:val="14"/>
                <w:szCs w:val="14"/>
                <w:color w:val="auto"/>
              </w:rPr>
              <w:t>209,375</w:t>
            </w:r>
          </w:p>
        </w:tc>
        <w:tc>
          <w:tcPr>
            <w:tcW w:w="1400" w:type="dxa"/>
            <w:vAlign w:val="bottom"/>
            <w:tcBorders>
              <w:bottom w:val="single" w:sz="8" w:color="FF0C07"/>
            </w:tcBorders>
          </w:tcPr>
          <w:p>
            <w:pPr>
              <w:jc w:val="right"/>
              <w:ind w:right="236"/>
              <w:spacing w:after="0" w:line="175" w:lineRule="exact"/>
              <w:rPr>
                <w:sz w:val="20"/>
                <w:szCs w:val="20"/>
                <w:color w:val="auto"/>
              </w:rPr>
            </w:pPr>
            <w:r>
              <w:rPr>
                <w:rFonts w:ascii="Arial" w:cs="Arial" w:eastAsia="Arial" w:hAnsi="Arial"/>
                <w:sz w:val="14"/>
                <w:szCs w:val="14"/>
                <w:color w:val="auto"/>
              </w:rPr>
              <w:t>3,483,318</w:t>
            </w:r>
            <w:r>
              <w:rPr>
                <w:rFonts w:ascii="Arial" w:cs="Arial" w:eastAsia="Arial" w:hAnsi="Arial"/>
                <w:sz w:val="20"/>
                <w:szCs w:val="20"/>
                <w:color w:val="auto"/>
                <w:vertAlign w:val="superscript"/>
              </w:rPr>
              <w:t>(15)</w:t>
            </w:r>
          </w:p>
        </w:tc>
        <w:tc>
          <w:tcPr>
            <w:tcW w:w="1340" w:type="dxa"/>
            <w:vAlign w:val="bottom"/>
            <w:tcBorders>
              <w:bottom w:val="single" w:sz="8" w:color="FF0C07"/>
            </w:tcBorders>
          </w:tcPr>
          <w:p>
            <w:pPr>
              <w:jc w:val="right"/>
              <w:ind w:right="90"/>
              <w:spacing w:after="0"/>
              <w:rPr>
                <w:sz w:val="20"/>
                <w:szCs w:val="20"/>
                <w:color w:val="auto"/>
              </w:rPr>
            </w:pPr>
            <w:r>
              <w:rPr>
                <w:rFonts w:ascii="Arial" w:cs="Arial" w:eastAsia="Arial" w:hAnsi="Arial"/>
                <w:sz w:val="14"/>
                <w:szCs w:val="14"/>
                <w:color w:val="auto"/>
              </w:rPr>
              <w:t>258,276</w:t>
            </w:r>
          </w:p>
        </w:tc>
        <w:tc>
          <w:tcPr>
            <w:tcW w:w="1560" w:type="dxa"/>
            <w:vAlign w:val="bottom"/>
            <w:tcBorders>
              <w:bottom w:val="single" w:sz="8" w:color="FF0C07"/>
            </w:tcBorders>
          </w:tcPr>
          <w:p>
            <w:pPr>
              <w:jc w:val="right"/>
              <w:ind w:right="134"/>
              <w:spacing w:after="0" w:line="175" w:lineRule="exact"/>
              <w:rPr>
                <w:sz w:val="20"/>
                <w:szCs w:val="20"/>
                <w:color w:val="auto"/>
              </w:rPr>
            </w:pPr>
            <w:r>
              <w:rPr>
                <w:rFonts w:ascii="Arial" w:cs="Arial" w:eastAsia="Arial" w:hAnsi="Arial"/>
                <w:sz w:val="14"/>
                <w:szCs w:val="14"/>
                <w:color w:val="auto"/>
              </w:rPr>
              <w:t>9,793</w:t>
            </w:r>
            <w:r>
              <w:rPr>
                <w:rFonts w:ascii="Arial" w:cs="Arial" w:eastAsia="Arial" w:hAnsi="Arial"/>
                <w:sz w:val="20"/>
                <w:szCs w:val="20"/>
                <w:color w:val="auto"/>
                <w:vertAlign w:val="superscript"/>
              </w:rPr>
              <w:t>(16)</w:t>
            </w:r>
          </w:p>
        </w:tc>
        <w:tc>
          <w:tcPr>
            <w:tcW w:w="940" w:type="dxa"/>
            <w:vAlign w:val="bottom"/>
            <w:tcBorders>
              <w:bottom w:val="single" w:sz="8" w:color="FF0C07"/>
            </w:tcBorders>
          </w:tcPr>
          <w:p>
            <w:pPr>
              <w:jc w:val="right"/>
              <w:spacing w:after="0"/>
              <w:rPr>
                <w:sz w:val="20"/>
                <w:szCs w:val="20"/>
                <w:color w:val="auto"/>
              </w:rPr>
            </w:pPr>
            <w:r>
              <w:rPr>
                <w:rFonts w:ascii="Arial" w:cs="Arial" w:eastAsia="Arial" w:hAnsi="Arial"/>
                <w:sz w:val="14"/>
                <w:szCs w:val="14"/>
                <w:color w:val="auto"/>
              </w:rPr>
              <w:t>3,960,762</w:t>
            </w:r>
          </w:p>
        </w:tc>
      </w:tr>
      <w:tr>
        <w:trPr>
          <w:trHeight w:val="142"/>
        </w:trPr>
        <w:tc>
          <w:tcPr>
            <w:tcW w:w="3160" w:type="dxa"/>
            <w:vAlign w:val="bottom"/>
          </w:tcPr>
          <w:p>
            <w:pPr>
              <w:spacing w:after="0" w:line="143" w:lineRule="exact"/>
              <w:rPr>
                <w:sz w:val="20"/>
                <w:szCs w:val="20"/>
                <w:color w:val="auto"/>
              </w:rPr>
            </w:pPr>
            <w:r>
              <w:rPr>
                <w:rFonts w:ascii="Arial" w:cs="Arial" w:eastAsia="Arial" w:hAnsi="Arial"/>
                <w:sz w:val="14"/>
                <w:szCs w:val="14"/>
                <w:b w:val="1"/>
                <w:bCs w:val="1"/>
                <w:color w:val="auto"/>
              </w:rPr>
              <w:t>Bruce K. Posey</w:t>
            </w:r>
          </w:p>
        </w:tc>
        <w:tc>
          <w:tcPr>
            <w:tcW w:w="1740" w:type="dxa"/>
            <w:vAlign w:val="bottom"/>
          </w:tcPr>
          <w:p>
            <w:pPr>
              <w:ind w:left="1220"/>
              <w:spacing w:after="0" w:line="143" w:lineRule="exact"/>
              <w:rPr>
                <w:sz w:val="20"/>
                <w:szCs w:val="20"/>
                <w:color w:val="auto"/>
              </w:rPr>
            </w:pPr>
            <w:r>
              <w:rPr>
                <w:rFonts w:ascii="Arial" w:cs="Arial" w:eastAsia="Arial" w:hAnsi="Arial"/>
                <w:sz w:val="14"/>
                <w:szCs w:val="14"/>
                <w:color w:val="auto"/>
              </w:rPr>
              <w:t>2022</w:t>
            </w:r>
          </w:p>
        </w:tc>
        <w:tc>
          <w:tcPr>
            <w:tcW w:w="880" w:type="dxa"/>
            <w:vAlign w:val="bottom"/>
          </w:tcPr>
          <w:p>
            <w:pPr>
              <w:jc w:val="right"/>
              <w:ind w:right="108"/>
              <w:spacing w:after="0" w:line="143" w:lineRule="exact"/>
              <w:rPr>
                <w:sz w:val="20"/>
                <w:szCs w:val="20"/>
                <w:color w:val="auto"/>
              </w:rPr>
            </w:pPr>
            <w:r>
              <w:rPr>
                <w:rFonts w:ascii="Arial" w:cs="Arial" w:eastAsia="Arial" w:hAnsi="Arial"/>
                <w:sz w:val="14"/>
                <w:szCs w:val="14"/>
                <w:color w:val="auto"/>
              </w:rPr>
              <w:t>360,000</w:t>
            </w:r>
          </w:p>
        </w:tc>
        <w:tc>
          <w:tcPr>
            <w:tcW w:w="1400" w:type="dxa"/>
            <w:vAlign w:val="bottom"/>
          </w:tcPr>
          <w:p>
            <w:pPr>
              <w:ind w:left="280"/>
              <w:spacing w:after="0" w:line="142" w:lineRule="exact"/>
              <w:rPr>
                <w:sz w:val="20"/>
                <w:szCs w:val="20"/>
                <w:color w:val="auto"/>
              </w:rPr>
            </w:pPr>
            <w:r>
              <w:rPr>
                <w:rFonts w:ascii="Arial" w:cs="Arial" w:eastAsia="Arial" w:hAnsi="Arial"/>
                <w:sz w:val="11"/>
                <w:szCs w:val="11"/>
                <w:color w:val="auto"/>
              </w:rPr>
              <w:t>2,934,223</w:t>
            </w:r>
            <w:r>
              <w:rPr>
                <w:rFonts w:ascii="Arial" w:cs="Arial" w:eastAsia="Arial" w:hAnsi="Arial"/>
                <w:sz w:val="16"/>
                <w:szCs w:val="16"/>
                <w:color w:val="auto"/>
                <w:vertAlign w:val="superscript"/>
              </w:rPr>
              <w:t>(4)(17)</w:t>
            </w:r>
          </w:p>
        </w:tc>
        <w:tc>
          <w:tcPr>
            <w:tcW w:w="1340" w:type="dxa"/>
            <w:vAlign w:val="bottom"/>
          </w:tcPr>
          <w:p>
            <w:pPr>
              <w:jc w:val="right"/>
              <w:ind w:right="90"/>
              <w:spacing w:after="0" w:line="143" w:lineRule="exact"/>
              <w:rPr>
                <w:sz w:val="20"/>
                <w:szCs w:val="20"/>
                <w:color w:val="auto"/>
              </w:rPr>
            </w:pPr>
            <w:r>
              <w:rPr>
                <w:rFonts w:ascii="Arial" w:cs="Arial" w:eastAsia="Arial" w:hAnsi="Arial"/>
                <w:sz w:val="14"/>
                <w:szCs w:val="14"/>
                <w:color w:val="auto"/>
              </w:rPr>
              <w:t>153,023</w:t>
            </w:r>
          </w:p>
        </w:tc>
        <w:tc>
          <w:tcPr>
            <w:tcW w:w="1560" w:type="dxa"/>
            <w:vAlign w:val="bottom"/>
          </w:tcPr>
          <w:p>
            <w:pPr>
              <w:jc w:val="right"/>
              <w:ind w:right="134"/>
              <w:spacing w:after="0" w:line="142" w:lineRule="exact"/>
              <w:rPr>
                <w:sz w:val="20"/>
                <w:szCs w:val="20"/>
                <w:color w:val="auto"/>
              </w:rPr>
            </w:pPr>
            <w:r>
              <w:rPr>
                <w:rFonts w:ascii="Arial" w:cs="Arial" w:eastAsia="Arial" w:hAnsi="Arial"/>
                <w:sz w:val="11"/>
                <w:szCs w:val="11"/>
                <w:color w:val="auto"/>
              </w:rPr>
              <w:t>20,798</w:t>
            </w:r>
            <w:r>
              <w:rPr>
                <w:rFonts w:ascii="Arial" w:cs="Arial" w:eastAsia="Arial" w:hAnsi="Arial"/>
                <w:sz w:val="16"/>
                <w:szCs w:val="16"/>
                <w:color w:val="auto"/>
                <w:vertAlign w:val="superscript"/>
              </w:rPr>
              <w:t>(18)</w:t>
            </w: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3,468,044</w:t>
            </w:r>
          </w:p>
        </w:tc>
      </w:tr>
      <w:tr>
        <w:trPr>
          <w:trHeight w:val="166"/>
        </w:trPr>
        <w:tc>
          <w:tcPr>
            <w:tcW w:w="3160" w:type="dxa"/>
            <w:vAlign w:val="bottom"/>
          </w:tcPr>
          <w:p>
            <w:pPr>
              <w:ind w:left="280"/>
              <w:spacing w:after="0"/>
              <w:rPr>
                <w:sz w:val="20"/>
                <w:szCs w:val="20"/>
                <w:color w:val="auto"/>
              </w:rPr>
            </w:pPr>
            <w:r>
              <w:rPr>
                <w:rFonts w:ascii="Arial" w:cs="Arial" w:eastAsia="Arial" w:hAnsi="Arial"/>
                <w:sz w:val="14"/>
                <w:szCs w:val="14"/>
                <w:color w:val="auto"/>
              </w:rPr>
              <w:t>Chief Legal Officer and</w:t>
            </w:r>
          </w:p>
        </w:tc>
        <w:tc>
          <w:tcPr>
            <w:tcW w:w="1740" w:type="dxa"/>
            <w:vAlign w:val="bottom"/>
          </w:tcPr>
          <w:p>
            <w:pPr>
              <w:ind w:left="1220"/>
              <w:spacing w:after="0"/>
              <w:rPr>
                <w:sz w:val="20"/>
                <w:szCs w:val="20"/>
                <w:color w:val="auto"/>
              </w:rPr>
            </w:pPr>
            <w:r>
              <w:rPr>
                <w:rFonts w:ascii="Arial" w:cs="Arial" w:eastAsia="Arial" w:hAnsi="Arial"/>
                <w:sz w:val="14"/>
                <w:szCs w:val="14"/>
                <w:color w:val="auto"/>
              </w:rPr>
              <w:t>2021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335,000</w:t>
            </w:r>
          </w:p>
        </w:tc>
        <w:tc>
          <w:tcPr>
            <w:tcW w:w="1400" w:type="dxa"/>
            <w:vAlign w:val="bottom"/>
          </w:tcPr>
          <w:p>
            <w:pPr>
              <w:jc w:val="right"/>
              <w:ind w:right="236"/>
              <w:spacing w:after="0" w:line="166" w:lineRule="exact"/>
              <w:rPr>
                <w:sz w:val="20"/>
                <w:szCs w:val="20"/>
                <w:color w:val="auto"/>
              </w:rPr>
            </w:pPr>
            <w:r>
              <w:rPr>
                <w:rFonts w:ascii="Arial" w:cs="Arial" w:eastAsia="Arial" w:hAnsi="Arial"/>
                <w:sz w:val="13"/>
                <w:szCs w:val="13"/>
                <w:color w:val="auto"/>
              </w:rPr>
              <w:t>2,851,185</w:t>
            </w:r>
            <w:r>
              <w:rPr>
                <w:rFonts w:ascii="Arial" w:cs="Arial" w:eastAsia="Arial" w:hAnsi="Arial"/>
                <w:sz w:val="19"/>
                <w:szCs w:val="19"/>
                <w:color w:val="auto"/>
                <w:vertAlign w:val="superscript"/>
              </w:rPr>
              <w:t>(19)</w:t>
            </w:r>
          </w:p>
        </w:tc>
        <w:tc>
          <w:tcPr>
            <w:tcW w:w="1340" w:type="dxa"/>
            <w:vAlign w:val="bottom"/>
          </w:tcPr>
          <w:p>
            <w:pPr>
              <w:jc w:val="right"/>
              <w:ind w:right="90"/>
              <w:spacing w:after="0"/>
              <w:rPr>
                <w:sz w:val="20"/>
                <w:szCs w:val="20"/>
                <w:color w:val="auto"/>
              </w:rPr>
            </w:pPr>
            <w:r>
              <w:rPr>
                <w:rFonts w:ascii="Arial" w:cs="Arial" w:eastAsia="Arial" w:hAnsi="Arial"/>
                <w:sz w:val="14"/>
                <w:szCs w:val="14"/>
                <w:color w:val="auto"/>
              </w:rPr>
              <w:t>168,750</w:t>
            </w:r>
          </w:p>
        </w:tc>
        <w:tc>
          <w:tcPr>
            <w:tcW w:w="1560" w:type="dxa"/>
            <w:vAlign w:val="bottom"/>
          </w:tcPr>
          <w:p>
            <w:pPr>
              <w:jc w:val="right"/>
              <w:ind w:right="134"/>
              <w:spacing w:after="0" w:line="166" w:lineRule="exact"/>
              <w:rPr>
                <w:sz w:val="20"/>
                <w:szCs w:val="20"/>
                <w:color w:val="auto"/>
              </w:rPr>
            </w:pPr>
            <w:r>
              <w:rPr>
                <w:rFonts w:ascii="Arial" w:cs="Arial" w:eastAsia="Arial" w:hAnsi="Arial"/>
                <w:sz w:val="13"/>
                <w:szCs w:val="13"/>
                <w:color w:val="auto"/>
              </w:rPr>
              <w:t>15,856</w:t>
            </w:r>
            <w:r>
              <w:rPr>
                <w:rFonts w:ascii="Arial" w:cs="Arial" w:eastAsia="Arial" w:hAnsi="Arial"/>
                <w:sz w:val="19"/>
                <w:szCs w:val="19"/>
                <w:color w:val="auto"/>
                <w:vertAlign w:val="superscript"/>
              </w:rPr>
              <w:t>(20)</w:t>
            </w:r>
          </w:p>
        </w:tc>
        <w:tc>
          <w:tcPr>
            <w:tcW w:w="940" w:type="dxa"/>
            <w:vAlign w:val="bottom"/>
          </w:tcPr>
          <w:p>
            <w:pPr>
              <w:jc w:val="right"/>
              <w:spacing w:after="0"/>
              <w:rPr>
                <w:sz w:val="20"/>
                <w:szCs w:val="20"/>
                <w:color w:val="auto"/>
              </w:rPr>
            </w:pPr>
            <w:r>
              <w:rPr>
                <w:rFonts w:ascii="Arial" w:cs="Arial" w:eastAsia="Arial" w:hAnsi="Arial"/>
                <w:sz w:val="14"/>
                <w:szCs w:val="14"/>
                <w:color w:val="auto"/>
              </w:rPr>
              <w:t>3,370,791</w:t>
            </w:r>
          </w:p>
        </w:tc>
      </w:tr>
      <w:tr>
        <w:trPr>
          <w:trHeight w:val="171"/>
        </w:trPr>
        <w:tc>
          <w:tcPr>
            <w:tcW w:w="3160" w:type="dxa"/>
            <w:vAlign w:val="bottom"/>
            <w:tcBorders>
              <w:bottom w:val="single" w:sz="8" w:color="FF0C07"/>
            </w:tcBorders>
          </w:tcPr>
          <w:p>
            <w:pPr>
              <w:ind w:left="280"/>
              <w:spacing w:after="0"/>
              <w:rPr>
                <w:sz w:val="20"/>
                <w:szCs w:val="20"/>
                <w:color w:val="auto"/>
              </w:rPr>
            </w:pPr>
            <w:r>
              <w:rPr>
                <w:rFonts w:ascii="Arial" w:cs="Arial" w:eastAsia="Arial" w:hAnsi="Arial"/>
                <w:sz w:val="14"/>
                <w:szCs w:val="14"/>
                <w:color w:val="auto"/>
              </w:rPr>
              <w:t>Corporate Secretary</w:t>
            </w:r>
          </w:p>
        </w:tc>
        <w:tc>
          <w:tcPr>
            <w:tcW w:w="1740" w:type="dxa"/>
            <w:vAlign w:val="bottom"/>
            <w:tcBorders>
              <w:bottom w:val="single" w:sz="8" w:color="FF0C07"/>
            </w:tcBorders>
          </w:tcPr>
          <w:p>
            <w:pPr>
              <w:ind w:left="1220"/>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FF0C07"/>
            </w:tcBorders>
          </w:tcPr>
          <w:p>
            <w:pPr>
              <w:jc w:val="right"/>
              <w:ind w:right="108"/>
              <w:spacing w:after="0"/>
              <w:rPr>
                <w:sz w:val="20"/>
                <w:szCs w:val="20"/>
                <w:color w:val="auto"/>
              </w:rPr>
            </w:pPr>
            <w:r>
              <w:rPr>
                <w:rFonts w:ascii="Arial" w:cs="Arial" w:eastAsia="Arial" w:hAnsi="Arial"/>
                <w:sz w:val="14"/>
                <w:szCs w:val="14"/>
                <w:color w:val="auto"/>
              </w:rPr>
              <w:t>315,833</w:t>
            </w:r>
          </w:p>
        </w:tc>
        <w:tc>
          <w:tcPr>
            <w:tcW w:w="1400" w:type="dxa"/>
            <w:vAlign w:val="bottom"/>
            <w:tcBorders>
              <w:bottom w:val="single" w:sz="8" w:color="FF0C07"/>
            </w:tcBorders>
          </w:tcPr>
          <w:p>
            <w:pPr>
              <w:jc w:val="right"/>
              <w:ind w:right="416"/>
              <w:spacing w:after="0"/>
              <w:rPr>
                <w:sz w:val="20"/>
                <w:szCs w:val="20"/>
                <w:color w:val="auto"/>
              </w:rPr>
            </w:pPr>
            <w:r>
              <w:rPr>
                <w:rFonts w:ascii="Arial" w:cs="Arial" w:eastAsia="Arial" w:hAnsi="Arial"/>
                <w:sz w:val="14"/>
                <w:szCs w:val="14"/>
                <w:color w:val="auto"/>
              </w:rPr>
              <w:t>3,114,445</w:t>
            </w:r>
          </w:p>
        </w:tc>
        <w:tc>
          <w:tcPr>
            <w:tcW w:w="1340" w:type="dxa"/>
            <w:vAlign w:val="bottom"/>
            <w:tcBorders>
              <w:bottom w:val="single" w:sz="8" w:color="FF0C07"/>
            </w:tcBorders>
          </w:tcPr>
          <w:p>
            <w:pPr>
              <w:jc w:val="right"/>
              <w:ind w:right="90"/>
              <w:spacing w:after="0"/>
              <w:rPr>
                <w:sz w:val="20"/>
                <w:szCs w:val="20"/>
                <w:color w:val="auto"/>
              </w:rPr>
            </w:pPr>
            <w:r>
              <w:rPr>
                <w:rFonts w:ascii="Arial" w:cs="Arial" w:eastAsia="Arial" w:hAnsi="Arial"/>
                <w:sz w:val="14"/>
                <w:szCs w:val="14"/>
                <w:color w:val="auto"/>
              </w:rPr>
              <w:t>156,591</w:t>
            </w:r>
          </w:p>
        </w:tc>
        <w:tc>
          <w:tcPr>
            <w:tcW w:w="1560" w:type="dxa"/>
            <w:vAlign w:val="bottom"/>
            <w:tcBorders>
              <w:bottom w:val="single" w:sz="8" w:color="FF0C07"/>
            </w:tcBorders>
          </w:tcPr>
          <w:p>
            <w:pPr>
              <w:jc w:val="right"/>
              <w:ind w:right="334"/>
              <w:spacing w:after="0"/>
              <w:rPr>
                <w:sz w:val="20"/>
                <w:szCs w:val="20"/>
                <w:color w:val="auto"/>
              </w:rPr>
            </w:pPr>
            <w:r>
              <w:rPr>
                <w:rFonts w:ascii="Arial" w:cs="Arial" w:eastAsia="Arial" w:hAnsi="Arial"/>
                <w:sz w:val="14"/>
                <w:szCs w:val="14"/>
                <w:color w:val="auto"/>
              </w:rPr>
              <w:t>7,722</w:t>
            </w:r>
          </w:p>
        </w:tc>
        <w:tc>
          <w:tcPr>
            <w:tcW w:w="940" w:type="dxa"/>
            <w:vAlign w:val="bottom"/>
            <w:tcBorders>
              <w:bottom w:val="single" w:sz="8" w:color="FF0C07"/>
            </w:tcBorders>
          </w:tcPr>
          <w:p>
            <w:pPr>
              <w:jc w:val="right"/>
              <w:spacing w:after="0"/>
              <w:rPr>
                <w:sz w:val="20"/>
                <w:szCs w:val="20"/>
                <w:color w:val="auto"/>
              </w:rPr>
            </w:pPr>
            <w:r>
              <w:rPr>
                <w:rFonts w:ascii="Arial" w:cs="Arial" w:eastAsia="Arial" w:hAnsi="Arial"/>
                <w:sz w:val="14"/>
                <w:szCs w:val="14"/>
                <w:color w:val="auto"/>
              </w:rPr>
              <w:t>3,594,591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right="40" w:hanging="424"/>
        <w:spacing w:after="0" w:line="286" w:lineRule="auto"/>
        <w:tabs>
          <w:tab w:leader="none" w:pos="4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RSU awards and PRSU awards are shown at their aggregate grant date fair value as determined in accordance with FASB ASC Topic 718. The fair value of each option grant is estimated based on the fair</w:t>
      </w:r>
    </w:p>
    <w:p>
      <w:pPr>
        <w:spacing w:after="0" w:line="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4"/>
          </w:cols>
          <w:pgMar w:left="436" w:top="296" w:right="439" w:bottom="1440" w:gutter="0" w:footer="0" w:header="0"/>
        </w:sectPr>
      </w:pPr>
    </w:p>
    <w:bookmarkStart w:id="51" w:name="page52"/>
    <w:bookmarkEnd w:id="51"/>
    <w:p>
      <w:pPr>
        <w:ind w:left="424" w:right="10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market value on the date of grant using the Black-Scholes-Merton option pricing model. The fair value of each RSU award and PRSU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2022, filed with the SEC on February 23, 2023.</w:t>
      </w:r>
    </w:p>
    <w:p>
      <w:pPr>
        <w:spacing w:after="0" w:line="85" w:lineRule="exact"/>
        <w:rPr>
          <w:sz w:val="20"/>
          <w:szCs w:val="20"/>
          <w:color w:val="auto"/>
        </w:rPr>
      </w:pPr>
    </w:p>
    <w:p>
      <w:pPr>
        <w:ind w:left="424" w:right="220" w:hanging="424"/>
        <w:spacing w:after="0" w:line="266" w:lineRule="auto"/>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Mr. Thakar, Ms. Kim and Mr. Posey, the amounts in this column reflect cash incentives earned under our Corporate Bonus Plan for the applicable year. For Mr. Peters, the amounts in this column reflect sales commissions earned under his individualized sales incentive plan for the applicable fiscal year.</w:t>
      </w:r>
    </w:p>
    <w:p>
      <w:pPr>
        <w:spacing w:after="0" w:line="76" w:lineRule="exact"/>
        <w:rPr>
          <w:rFonts w:ascii="Arial" w:cs="Arial" w:eastAsia="Arial" w:hAnsi="Arial"/>
          <w:sz w:val="16"/>
          <w:szCs w:val="16"/>
          <w:color w:val="auto"/>
        </w:rPr>
      </w:pPr>
    </w:p>
    <w:p>
      <w:pPr>
        <w:ind w:left="424" w:right="140" w:hanging="424"/>
        <w:spacing w:after="0" w:line="266" w:lineRule="auto"/>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amount includes the grant date fair value of the first tranche (representing 15,178 PRSUs) and second tranche (representing 13,096 PRSUs) of the PRSU awards granted in October 2022 and 2021 totaling $3,969,104 based upon the probable outcome of performance conditions (if maximum performance is achieved, the aggregate grant date fair value of such award is $7,938,208).</w:t>
      </w:r>
    </w:p>
    <w:p>
      <w:pPr>
        <w:spacing w:after="0" w:line="76" w:lineRule="exact"/>
        <w:rPr>
          <w:rFonts w:ascii="Arial" w:cs="Arial" w:eastAsia="Arial" w:hAnsi="Arial"/>
          <w:sz w:val="16"/>
          <w:szCs w:val="16"/>
          <w:color w:val="auto"/>
        </w:rPr>
      </w:pPr>
    </w:p>
    <w:p>
      <w:pPr>
        <w:ind w:left="424" w:right="40" w:hanging="424"/>
        <w:spacing w:after="0" w:line="256" w:lineRule="auto"/>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discussed above in the “Compensation Discussion and Analysis” section, the PRSU awards granted to the named executive officers in October 2022 and 2021 are divided into three tranches with one-year performance periods. One-third of the target number of PRSUs is allocated to each tranche. Each tranche will become eligible to vest based on the annual performance metrics approved by the board for applicable performance period before the start of the performance year. Pursuant to FASB ASC Topic 718, the accounting grant date for each PRSU tranche is the date the performance metrics are approved by the Compensation and Talent Committee and communicated to the employee.</w:t>
      </w:r>
    </w:p>
    <w:p>
      <w:pPr>
        <w:spacing w:after="0" w:line="85" w:lineRule="exact"/>
        <w:rPr>
          <w:rFonts w:ascii="Arial" w:cs="Arial" w:eastAsia="Arial" w:hAnsi="Arial"/>
          <w:sz w:val="16"/>
          <w:szCs w:val="16"/>
          <w:color w:val="auto"/>
        </w:rPr>
      </w:pPr>
    </w:p>
    <w:p>
      <w:pPr>
        <w:ind w:left="424" w:hanging="424"/>
        <w:spacing w:after="0"/>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(a) 401(k) matching contributions by Qualys ($12,214) and (b) a premium paid by Qualys for life insurance ($1,462).</w:t>
      </w:r>
    </w:p>
    <w:p>
      <w:pPr>
        <w:spacing w:after="0" w:line="126" w:lineRule="exact"/>
        <w:rPr>
          <w:rFonts w:ascii="Arial" w:cs="Arial" w:eastAsia="Arial" w:hAnsi="Arial"/>
          <w:sz w:val="16"/>
          <w:szCs w:val="16"/>
          <w:color w:val="auto"/>
        </w:rPr>
      </w:pPr>
    </w:p>
    <w:p>
      <w:pPr>
        <w:ind w:left="424" w:right="60" w:hanging="424"/>
        <w:spacing w:after="0" w:line="256" w:lineRule="auto"/>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amount includes (a) the grant date fair value of a PRSU award granted in April 2021 in connection with Mr. Thakar’s appointment as Chief Executive Officer totaling $1,037,698 based upon the probable outcome of performance conditions (if maximum performance is achieved, the aggregate grant date fair value of such award is $2,075,397), and (b) the grant date fair value of the first tranche (representing 13,096 PRSUs) of a PRSU award granted in October 2021 totaling $1,572,306 based upon the probable outcome of performance conditions (if maximum performance is achieved, the aggregate grant date fair value of such award is $3,144,612).</w:t>
      </w:r>
    </w:p>
    <w:p>
      <w:pPr>
        <w:spacing w:after="0" w:line="71"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6"/>
          <w:szCs w:val="16"/>
          <w:color w:val="auto"/>
        </w:rPr>
        <w:t>The performance metrics for the second and third tranches (representing an aggregate of 26,192 PRSUs) of the PRSU award granted to</w:t>
      </w:r>
    </w:p>
    <w:p>
      <w:pPr>
        <w:spacing w:after="0" w:line="21" w:lineRule="exact"/>
        <w:rPr>
          <w:rFonts w:ascii="Arial" w:cs="Arial" w:eastAsia="Arial" w:hAnsi="Arial"/>
          <w:sz w:val="16"/>
          <w:szCs w:val="16"/>
          <w:color w:val="auto"/>
        </w:rPr>
      </w:pPr>
    </w:p>
    <w:p>
      <w:pPr>
        <w:ind w:left="444"/>
        <w:spacing w:after="0" w:line="265" w:lineRule="auto"/>
        <w:rPr>
          <w:rFonts w:ascii="Arial" w:cs="Arial" w:eastAsia="Arial" w:hAnsi="Arial"/>
          <w:sz w:val="16"/>
          <w:szCs w:val="16"/>
          <w:color w:val="auto"/>
        </w:rPr>
      </w:pPr>
      <w:r>
        <w:rPr>
          <w:rFonts w:ascii="Arial" w:cs="Arial" w:eastAsia="Arial" w:hAnsi="Arial"/>
          <w:sz w:val="16"/>
          <w:szCs w:val="16"/>
          <w:color w:val="auto"/>
        </w:rPr>
        <w:t>Mr. Thakar in October 2021 had not been established in 2021. As a result, there was no reportable grant date fair value under FASB ASC Topic 718 for such tranches to be included in the 2021 compensation that is presented in this table.</w:t>
      </w:r>
    </w:p>
    <w:p>
      <w:pPr>
        <w:spacing w:after="0" w:line="77" w:lineRule="exact"/>
        <w:rPr>
          <w:rFonts w:ascii="Arial" w:cs="Arial" w:eastAsia="Arial" w:hAnsi="Arial"/>
          <w:sz w:val="16"/>
          <w:szCs w:val="16"/>
          <w:color w:val="auto"/>
        </w:rPr>
      </w:pPr>
    </w:p>
    <w:p>
      <w:pPr>
        <w:ind w:left="424" w:hanging="424"/>
        <w:spacing w:after="0" w:line="286" w:lineRule="auto"/>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(a) 401(k) matching contributions by Qualys ($13,050), (b) a premium paid by Qualys for life insurance ($1,350), and (c) a premium paid by Qualys for supplemental disability insurance ($2,837).</w:t>
      </w:r>
    </w:p>
    <w:p>
      <w:pPr>
        <w:spacing w:after="0" w:line="61" w:lineRule="exact"/>
        <w:rPr>
          <w:rFonts w:ascii="Arial" w:cs="Arial" w:eastAsia="Arial" w:hAnsi="Arial"/>
          <w:sz w:val="16"/>
          <w:szCs w:val="16"/>
          <w:color w:val="auto"/>
        </w:rPr>
      </w:pPr>
    </w:p>
    <w:p>
      <w:pPr>
        <w:ind w:left="424" w:hanging="424"/>
        <w:spacing w:after="0" w:line="266" w:lineRule="auto"/>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amount includes the grant date fair value of the first tranche (representing 3,923 PRSUs) and second tranche (representing 4,728 PRSUs) of the PRSU awards granted in October 2022 and 2021 totaling $1,214,427 based upon the probable outcome of performance conditions (if maximum performance is achieved, the aggregate grant date fair value of such award is $2,428,855).</w:t>
      </w:r>
    </w:p>
    <w:p>
      <w:pPr>
        <w:spacing w:after="0" w:line="76" w:lineRule="exact"/>
        <w:rPr>
          <w:rFonts w:ascii="Arial" w:cs="Arial" w:eastAsia="Arial" w:hAnsi="Arial"/>
          <w:sz w:val="16"/>
          <w:szCs w:val="16"/>
          <w:color w:val="auto"/>
        </w:rPr>
      </w:pPr>
    </w:p>
    <w:p>
      <w:pPr>
        <w:ind w:left="424" w:hanging="424"/>
        <w:spacing w:after="0"/>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(a) 401(k) matching contributions by Qualys ($18,331) and (b) a premium paid by Qualys for life insurance ($975).</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amount includes the grant date fair value of the first tranche (representing 4,729 PRSUs) of a PRSU award granted in October 2021 totaling</w:t>
      </w:r>
    </w:p>
    <w:p>
      <w:pPr>
        <w:spacing w:after="0" w:line="21" w:lineRule="exact"/>
        <w:rPr>
          <w:rFonts w:ascii="Arial" w:cs="Arial" w:eastAsia="Arial" w:hAnsi="Arial"/>
          <w:sz w:val="16"/>
          <w:szCs w:val="16"/>
          <w:color w:val="auto"/>
        </w:rPr>
      </w:pPr>
    </w:p>
    <w:p>
      <w:pPr>
        <w:ind w:left="424"/>
        <w:spacing w:after="0" w:line="265" w:lineRule="auto"/>
        <w:rPr>
          <w:rFonts w:ascii="Arial" w:cs="Arial" w:eastAsia="Arial" w:hAnsi="Arial"/>
          <w:sz w:val="16"/>
          <w:szCs w:val="16"/>
          <w:color w:val="auto"/>
        </w:rPr>
      </w:pPr>
      <w:r>
        <w:rPr>
          <w:rFonts w:ascii="Arial" w:cs="Arial" w:eastAsia="Arial" w:hAnsi="Arial"/>
          <w:sz w:val="16"/>
          <w:szCs w:val="16"/>
          <w:color w:val="auto"/>
        </w:rPr>
        <w:t>$567,764 based upon the probable outcome of performance conditions (if maximum performance is achieved, the aggregate grant date fair value of such award is $1,135,527).</w:t>
      </w:r>
    </w:p>
    <w:p>
      <w:pPr>
        <w:spacing w:after="0" w:line="63" w:lineRule="exact"/>
        <w:rPr>
          <w:rFonts w:ascii="Arial" w:cs="Arial" w:eastAsia="Arial" w:hAnsi="Arial"/>
          <w:sz w:val="16"/>
          <w:szCs w:val="16"/>
          <w:color w:val="auto"/>
        </w:rPr>
      </w:pPr>
    </w:p>
    <w:p>
      <w:pPr>
        <w:ind w:left="444" w:right="80"/>
        <w:spacing w:after="0" w:line="266" w:lineRule="auto"/>
        <w:rPr>
          <w:rFonts w:ascii="Arial" w:cs="Arial" w:eastAsia="Arial" w:hAnsi="Arial"/>
          <w:sz w:val="16"/>
          <w:szCs w:val="16"/>
          <w:color w:val="auto"/>
        </w:rPr>
      </w:pPr>
      <w:r>
        <w:rPr>
          <w:rFonts w:ascii="Arial" w:cs="Arial" w:eastAsia="Arial" w:hAnsi="Arial"/>
          <w:sz w:val="16"/>
          <w:szCs w:val="16"/>
          <w:color w:val="auto"/>
        </w:rPr>
        <w:t>The performance metrics for the second and third tranches (representing an aggregate of 9,457 PRSUs) of the PRSU award granted to Ms. Kim in October 2021 had not been established in 2021. As a result, there was no reportable grant date fair value under FASB ASC Topic 718 for such tranches to be included in the 2021 compensation that is presented in this table.</w:t>
      </w:r>
    </w:p>
    <w:p>
      <w:pPr>
        <w:spacing w:after="0" w:line="76" w:lineRule="exact"/>
        <w:rPr>
          <w:rFonts w:ascii="Arial" w:cs="Arial" w:eastAsia="Arial" w:hAnsi="Arial"/>
          <w:sz w:val="16"/>
          <w:szCs w:val="16"/>
          <w:color w:val="auto"/>
        </w:rPr>
      </w:pPr>
    </w:p>
    <w:p>
      <w:pPr>
        <w:ind w:left="424" w:right="140" w:hanging="424"/>
        <w:spacing w:after="0" w:line="286" w:lineRule="auto"/>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(a) 401(k) matching contributions by Qualys ($13,050), (b) a premium paid by Qualys for life insurance ($900), and (c) a premium paid by Qualys for supplemental disability insurance ($2,332).</w:t>
      </w:r>
    </w:p>
    <w:p>
      <w:pPr>
        <w:spacing w:after="0" w:line="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301" w:right="459" w:bottom="1440" w:gutter="0" w:footer="0" w:header="0"/>
        </w:sectPr>
      </w:pPr>
    </w:p>
    <w:bookmarkStart w:id="52" w:name="page53"/>
    <w:bookmarkEnd w:id="52"/>
    <w:p>
      <w:pPr>
        <w:ind w:left="424" w:hanging="424"/>
        <w:spacing w:after="0"/>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Mr. Peters’ employment with the Company ended on February 7, 2023.</w:t>
      </w:r>
    </w:p>
    <w:p>
      <w:pPr>
        <w:spacing w:after="0" w:line="126" w:lineRule="exact"/>
        <w:rPr>
          <w:rFonts w:ascii="Arial" w:cs="Arial" w:eastAsia="Arial" w:hAnsi="Arial"/>
          <w:sz w:val="16"/>
          <w:szCs w:val="16"/>
          <w:color w:val="auto"/>
        </w:rPr>
      </w:pPr>
    </w:p>
    <w:p>
      <w:pPr>
        <w:jc w:val="both"/>
        <w:ind w:left="424" w:right="140" w:hanging="424"/>
        <w:spacing w:after="0" w:line="266"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amount includes the grant date fair value of the first tranche (representing 2,977 PRSUs) and second tranche (representing 3,638 PRSUs) of the PRSU awards granted in October 2022 and 2021 totaling $928,614 based upon the probable outcome of performance conditions (if maximum performance is achieved, the aggregate grant date fair value of such award is $1,857,227).</w:t>
      </w:r>
    </w:p>
    <w:p>
      <w:pPr>
        <w:spacing w:after="0" w:line="76" w:lineRule="exact"/>
        <w:rPr>
          <w:rFonts w:ascii="Arial" w:cs="Arial" w:eastAsia="Arial" w:hAnsi="Arial"/>
          <w:sz w:val="16"/>
          <w:szCs w:val="16"/>
          <w:color w:val="auto"/>
        </w:rPr>
      </w:pPr>
    </w:p>
    <w:p>
      <w:pPr>
        <w:ind w:left="424" w:hanging="424"/>
        <w:spacing w:after="0"/>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(a) 401(k) matching contributions by Qualys ($10,076) and (b) a premium paid by Qualys for life insurance ($4,540).</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amount includes the grant date fair value of the first tranche (representing 3,638 PRSUs) of a PRSU award granted in October 2021 totaling</w:t>
      </w:r>
    </w:p>
    <w:p>
      <w:pPr>
        <w:spacing w:after="0" w:line="21" w:lineRule="exact"/>
        <w:rPr>
          <w:rFonts w:ascii="Arial" w:cs="Arial" w:eastAsia="Arial" w:hAnsi="Arial"/>
          <w:sz w:val="16"/>
          <w:szCs w:val="16"/>
          <w:color w:val="auto"/>
        </w:rPr>
      </w:pPr>
    </w:p>
    <w:p>
      <w:pPr>
        <w:ind w:left="424"/>
        <w:spacing w:after="0" w:line="265" w:lineRule="auto"/>
        <w:rPr>
          <w:rFonts w:ascii="Arial" w:cs="Arial" w:eastAsia="Arial" w:hAnsi="Arial"/>
          <w:sz w:val="16"/>
          <w:szCs w:val="16"/>
          <w:color w:val="auto"/>
        </w:rPr>
      </w:pPr>
      <w:r>
        <w:rPr>
          <w:rFonts w:ascii="Arial" w:cs="Arial" w:eastAsia="Arial" w:hAnsi="Arial"/>
          <w:sz w:val="16"/>
          <w:szCs w:val="16"/>
          <w:color w:val="auto"/>
        </w:rPr>
        <w:t>$436,778 based upon the probable outcome of performance conditions (if maximum performance is achieved, the aggregate grant date fair value of such award is $873,557).</w:t>
      </w:r>
    </w:p>
    <w:p>
      <w:pPr>
        <w:spacing w:after="0" w:line="63" w:lineRule="exact"/>
        <w:rPr>
          <w:rFonts w:ascii="Arial" w:cs="Arial" w:eastAsia="Arial" w:hAnsi="Arial"/>
          <w:sz w:val="16"/>
          <w:szCs w:val="16"/>
          <w:color w:val="auto"/>
        </w:rPr>
      </w:pPr>
    </w:p>
    <w:p>
      <w:pPr>
        <w:ind w:left="444" w:right="100"/>
        <w:spacing w:after="0" w:line="266" w:lineRule="auto"/>
        <w:rPr>
          <w:rFonts w:ascii="Arial" w:cs="Arial" w:eastAsia="Arial" w:hAnsi="Arial"/>
          <w:sz w:val="16"/>
          <w:szCs w:val="16"/>
          <w:color w:val="auto"/>
        </w:rPr>
      </w:pPr>
      <w:r>
        <w:rPr>
          <w:rFonts w:ascii="Arial" w:cs="Arial" w:eastAsia="Arial" w:hAnsi="Arial"/>
          <w:sz w:val="16"/>
          <w:szCs w:val="16"/>
          <w:color w:val="auto"/>
        </w:rPr>
        <w:t>The performance metrics for the second and third tranches (representing an aggregate of 7,276 PRSUs) of the PRSU award granted to Mr. Peters in October 2021 had not been established in 2021. As a result, there was no reportable grant date fair value under FASB ASC Topic 718 for such tranches to be included in the 2021 compensation that is presented in this table.</w:t>
      </w:r>
    </w:p>
    <w:p>
      <w:pPr>
        <w:spacing w:after="0" w:line="76" w:lineRule="exact"/>
        <w:rPr>
          <w:rFonts w:ascii="Arial" w:cs="Arial" w:eastAsia="Arial" w:hAnsi="Arial"/>
          <w:sz w:val="16"/>
          <w:szCs w:val="16"/>
          <w:color w:val="auto"/>
        </w:rPr>
      </w:pPr>
    </w:p>
    <w:p>
      <w:pPr>
        <w:ind w:left="424" w:right="100" w:hanging="424"/>
        <w:spacing w:after="0" w:line="286"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(a) 401(k) matching contributions by Qualys ($6,797), (b) a premium paid by Qualys for life insurance ($2,258), and (c) a premium paid by Qualys for supplemental disability insurance ($738).</w:t>
      </w:r>
    </w:p>
    <w:p>
      <w:pPr>
        <w:spacing w:after="0" w:line="61" w:lineRule="exact"/>
        <w:rPr>
          <w:rFonts w:ascii="Arial" w:cs="Arial" w:eastAsia="Arial" w:hAnsi="Arial"/>
          <w:sz w:val="16"/>
          <w:szCs w:val="16"/>
          <w:color w:val="auto"/>
        </w:rPr>
      </w:pPr>
    </w:p>
    <w:p>
      <w:pPr>
        <w:jc w:val="both"/>
        <w:ind w:left="424" w:right="140" w:hanging="424"/>
        <w:spacing w:after="0" w:line="266"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amount includes the grant date fair value of the first tranche (representing 2,242 PRSUs) and second tranche (representing 2,968 PRSUs) of the PRSU awards granted in October 2022 and 2021 totaling $731,380 based upon the probable outcome of performance conditions (if maximum performance is achieved, the aggregate grant date fair value of such award is $1,462,760).</w:t>
      </w:r>
    </w:p>
    <w:p>
      <w:pPr>
        <w:spacing w:after="0" w:line="76" w:lineRule="exact"/>
        <w:rPr>
          <w:rFonts w:ascii="Arial" w:cs="Arial" w:eastAsia="Arial" w:hAnsi="Arial"/>
          <w:sz w:val="16"/>
          <w:szCs w:val="16"/>
          <w:color w:val="auto"/>
        </w:rPr>
      </w:pPr>
    </w:p>
    <w:p>
      <w:pPr>
        <w:ind w:left="424" w:hanging="424"/>
        <w:spacing w:after="0"/>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(a) 401(k) matching contributions by Qualys ($10,822) and (b) a premium paid by Qualys for life insurance ($9,976).</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amount includes the grant date fair value of the first tranche (representing 2,969 PRSUs) of a PRSU award granted in October 2021 totaling</w:t>
      </w:r>
    </w:p>
    <w:p>
      <w:pPr>
        <w:spacing w:after="0" w:line="21" w:lineRule="exact"/>
        <w:rPr>
          <w:rFonts w:ascii="Arial" w:cs="Arial" w:eastAsia="Arial" w:hAnsi="Arial"/>
          <w:sz w:val="16"/>
          <w:szCs w:val="16"/>
          <w:color w:val="auto"/>
        </w:rPr>
      </w:pPr>
    </w:p>
    <w:p>
      <w:pPr>
        <w:ind w:left="424"/>
        <w:spacing w:after="0" w:line="265" w:lineRule="auto"/>
        <w:rPr>
          <w:rFonts w:ascii="Arial" w:cs="Arial" w:eastAsia="Arial" w:hAnsi="Arial"/>
          <w:sz w:val="16"/>
          <w:szCs w:val="16"/>
          <w:color w:val="auto"/>
        </w:rPr>
      </w:pPr>
      <w:r>
        <w:rPr>
          <w:rFonts w:ascii="Arial" w:cs="Arial" w:eastAsia="Arial" w:hAnsi="Arial"/>
          <w:sz w:val="16"/>
          <w:szCs w:val="16"/>
          <w:color w:val="auto"/>
        </w:rPr>
        <w:t>$356,458 based upon the probable outcome of performance conditions (if maximum performance is achieved, the aggregate grant date fair value of such award is $712,916).</w:t>
      </w:r>
    </w:p>
    <w:p>
      <w:pPr>
        <w:spacing w:after="0" w:line="63" w:lineRule="exact"/>
        <w:rPr>
          <w:rFonts w:ascii="Arial" w:cs="Arial" w:eastAsia="Arial" w:hAnsi="Arial"/>
          <w:sz w:val="16"/>
          <w:szCs w:val="16"/>
          <w:color w:val="auto"/>
        </w:rPr>
      </w:pPr>
    </w:p>
    <w:p>
      <w:pPr>
        <w:ind w:left="444" w:right="120"/>
        <w:spacing w:after="0" w:line="266" w:lineRule="auto"/>
        <w:rPr>
          <w:rFonts w:ascii="Arial" w:cs="Arial" w:eastAsia="Arial" w:hAnsi="Arial"/>
          <w:sz w:val="16"/>
          <w:szCs w:val="16"/>
          <w:color w:val="auto"/>
        </w:rPr>
      </w:pPr>
      <w:r>
        <w:rPr>
          <w:rFonts w:ascii="Arial" w:cs="Arial" w:eastAsia="Arial" w:hAnsi="Arial"/>
          <w:sz w:val="16"/>
          <w:szCs w:val="16"/>
          <w:color w:val="auto"/>
        </w:rPr>
        <w:t>The performance metrics for the second and third tranches (representing an aggregate of 5,937 PRSUs) of the PRSU award granted to Mr. Posey in October 2021 had not been established in 2021. As a result, there was no reportable grant date fair value under FASB ASC Topic 718 for such tranches to be included in the 2021 compensation that is presented in this table.</w:t>
      </w:r>
    </w:p>
    <w:p>
      <w:pPr>
        <w:spacing w:after="0" w:line="76" w:lineRule="exact"/>
        <w:rPr>
          <w:rFonts w:ascii="Arial" w:cs="Arial" w:eastAsia="Arial" w:hAnsi="Arial"/>
          <w:sz w:val="16"/>
          <w:szCs w:val="16"/>
          <w:color w:val="auto"/>
        </w:rPr>
      </w:pPr>
    </w:p>
    <w:p>
      <w:pPr>
        <w:ind w:left="424" w:right="100" w:hanging="424"/>
        <w:spacing w:after="0" w:line="286"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(a) 401(k) matching contributions by Qualys ($5,575), (b) a premium paid by Qualys for life insurance ($5,677), and (c) a premium paid by Qualys for supplemental disability insurance ($4,604).</w:t>
      </w:r>
    </w:p>
    <w:p>
      <w:pPr>
        <w:spacing w:after="0" w:line="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301" w:right="459" w:bottom="1440" w:gutter="0" w:footer="0" w:header="0"/>
        </w:sectPr>
      </w:pPr>
    </w:p>
    <w:bookmarkStart w:id="53" w:name="page54"/>
    <w:bookmarkEnd w:id="5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Grants of Plan-Based Awards in 2022 Table</w:t>
      </w:r>
    </w:p>
    <w:p>
      <w:pPr>
        <w:spacing w:after="0" w:line="104" w:lineRule="exact"/>
        <w:rPr>
          <w:sz w:val="20"/>
          <w:szCs w:val="20"/>
          <w:color w:val="auto"/>
        </w:rPr>
      </w:pPr>
    </w:p>
    <w:p>
      <w:pPr>
        <w:ind w:left="4" w:right="320" w:firstLine="440"/>
        <w:spacing w:after="0" w:line="271" w:lineRule="auto"/>
        <w:rPr>
          <w:sz w:val="20"/>
          <w:szCs w:val="20"/>
          <w:color w:val="auto"/>
        </w:rPr>
      </w:pPr>
      <w:r>
        <w:rPr>
          <w:rFonts w:ascii="Arial" w:cs="Arial" w:eastAsia="Arial" w:hAnsi="Arial"/>
          <w:sz w:val="18"/>
          <w:szCs w:val="18"/>
          <w:color w:val="auto"/>
        </w:rPr>
        <w:t>The following table shows information regarding cash incentive and equity awards granted to our named executive officers during 2022.</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98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Fair Value of</w:t>
            </w:r>
          </w:p>
        </w:tc>
      </w:tr>
      <w:tr>
        <w:trPr>
          <w:trHeight w:val="162"/>
        </w:trPr>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Estimated Future</w:t>
            </w:r>
          </w:p>
        </w:tc>
        <w:tc>
          <w:tcPr>
            <w:tcW w:w="1760" w:type="dxa"/>
            <w:vAlign w:val="bottom"/>
            <w:gridSpan w:val="2"/>
          </w:tcPr>
          <w:p>
            <w:pPr>
              <w:ind w:left="560"/>
              <w:spacing w:after="0"/>
              <w:rPr>
                <w:sz w:val="20"/>
                <w:szCs w:val="20"/>
                <w:color w:val="auto"/>
              </w:rPr>
            </w:pPr>
            <w:r>
              <w:rPr>
                <w:rFonts w:ascii="Arial" w:cs="Arial" w:eastAsia="Arial" w:hAnsi="Arial"/>
                <w:sz w:val="14"/>
                <w:szCs w:val="14"/>
                <w:b w:val="1"/>
                <w:bCs w:val="1"/>
                <w:color w:val="auto"/>
              </w:rPr>
              <w:t>Estimated Future</w:t>
            </w: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Stock and</w:t>
            </w:r>
          </w:p>
        </w:tc>
      </w:tr>
      <w:tr>
        <w:trPr>
          <w:trHeight w:val="162"/>
        </w:trPr>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Payouts Under Non-</w:t>
            </w:r>
          </w:p>
        </w:tc>
        <w:tc>
          <w:tcPr>
            <w:tcW w:w="1760" w:type="dxa"/>
            <w:vAlign w:val="bottom"/>
            <w:gridSpan w:val="2"/>
          </w:tcPr>
          <w:p>
            <w:pPr>
              <w:jc w:val="center"/>
              <w:ind w:left="454"/>
              <w:spacing w:after="0"/>
              <w:rPr>
                <w:sz w:val="20"/>
                <w:szCs w:val="20"/>
                <w:color w:val="auto"/>
              </w:rPr>
            </w:pPr>
            <w:r>
              <w:rPr>
                <w:rFonts w:ascii="Arial" w:cs="Arial" w:eastAsia="Arial" w:hAnsi="Arial"/>
                <w:sz w:val="14"/>
                <w:szCs w:val="14"/>
                <w:b w:val="1"/>
                <w:bCs w:val="1"/>
                <w:color w:val="auto"/>
              </w:rPr>
              <w:t>Payouts Under</w:t>
            </w: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r>
      <w:tr>
        <w:trPr>
          <w:trHeight w:val="158"/>
        </w:trPr>
        <w:tc>
          <w:tcPr>
            <w:tcW w:w="1220" w:type="dxa"/>
            <w:vAlign w:val="bottom"/>
          </w:tcPr>
          <w:p>
            <w:pPr>
              <w:spacing w:after="0"/>
              <w:rPr>
                <w:sz w:val="13"/>
                <w:szCs w:val="13"/>
                <w:color w:val="auto"/>
              </w:rPr>
            </w:pPr>
          </w:p>
        </w:tc>
        <w:tc>
          <w:tcPr>
            <w:tcW w:w="1780" w:type="dxa"/>
            <w:vAlign w:val="bottom"/>
          </w:tcPr>
          <w:p>
            <w:pPr>
              <w:jc w:val="right"/>
              <w:ind w:right="116"/>
              <w:spacing w:after="0" w:line="158" w:lineRule="exact"/>
              <w:rPr>
                <w:sz w:val="20"/>
                <w:szCs w:val="20"/>
                <w:color w:val="auto"/>
              </w:rPr>
            </w:pPr>
            <w:r>
              <w:rPr>
                <w:rFonts w:ascii="Arial" w:cs="Arial" w:eastAsia="Arial" w:hAnsi="Arial"/>
                <w:sz w:val="14"/>
                <w:szCs w:val="14"/>
                <w:b w:val="1"/>
                <w:bCs w:val="1"/>
                <w:color w:val="auto"/>
              </w:rPr>
              <w:t>Grant</w:t>
            </w:r>
          </w:p>
        </w:tc>
        <w:tc>
          <w:tcPr>
            <w:tcW w:w="800" w:type="dxa"/>
            <w:vAlign w:val="bottom"/>
          </w:tcPr>
          <w:p>
            <w:pPr>
              <w:jc w:val="right"/>
              <w:ind w:right="36"/>
              <w:spacing w:after="0" w:line="158" w:lineRule="exact"/>
              <w:rPr>
                <w:sz w:val="20"/>
                <w:szCs w:val="20"/>
                <w:color w:val="auto"/>
              </w:rPr>
            </w:pPr>
            <w:r>
              <w:rPr>
                <w:rFonts w:ascii="Arial" w:cs="Arial" w:eastAsia="Arial" w:hAnsi="Arial"/>
                <w:sz w:val="14"/>
                <w:szCs w:val="14"/>
                <w:b w:val="1"/>
                <w:bCs w:val="1"/>
                <w:color w:val="auto"/>
              </w:rPr>
              <w:t>Approval</w:t>
            </w:r>
          </w:p>
        </w:tc>
        <w:tc>
          <w:tcPr>
            <w:tcW w:w="780" w:type="dxa"/>
            <w:vAlign w:val="bottom"/>
          </w:tcPr>
          <w:p>
            <w:pPr>
              <w:jc w:val="right"/>
              <w:ind w:right="77"/>
              <w:spacing w:after="0" w:line="158" w:lineRule="exact"/>
              <w:rPr>
                <w:sz w:val="20"/>
                <w:szCs w:val="20"/>
                <w:color w:val="auto"/>
              </w:rPr>
            </w:pPr>
            <w:r>
              <w:rPr>
                <w:rFonts w:ascii="Arial" w:cs="Arial" w:eastAsia="Arial" w:hAnsi="Arial"/>
                <w:sz w:val="14"/>
                <w:szCs w:val="14"/>
                <w:b w:val="1"/>
                <w:bCs w:val="1"/>
                <w:color w:val="auto"/>
              </w:rPr>
              <w:t>Type of</w:t>
            </w:r>
          </w:p>
        </w:tc>
        <w:tc>
          <w:tcPr>
            <w:tcW w:w="226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rPr>
              <w:t>Equity Incentive Plan</w:t>
            </w:r>
          </w:p>
        </w:tc>
        <w:tc>
          <w:tcPr>
            <w:tcW w:w="23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rPr>
              <w:t>Equity Incentive Plan</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Stock or</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Awards</w:t>
            </w:r>
          </w:p>
        </w:tc>
      </w:tr>
      <w:tr>
        <w:trPr>
          <w:trHeight w:val="236"/>
        </w:trPr>
        <w:tc>
          <w:tcPr>
            <w:tcW w:w="1220" w:type="dxa"/>
            <w:vAlign w:val="bottom"/>
            <w:tcBorders>
              <w:bottom w:val="single" w:sz="8" w:color="FF0C07"/>
            </w:tcBorders>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tcBorders>
              <w:bottom w:val="single" w:sz="8" w:color="FF0C07"/>
            </w:tcBorders>
          </w:tcPr>
          <w:p>
            <w:pPr>
              <w:jc w:val="right"/>
              <w:ind w:right="136"/>
              <w:spacing w:after="0"/>
              <w:rPr>
                <w:sz w:val="20"/>
                <w:szCs w:val="20"/>
                <w:color w:val="auto"/>
              </w:rPr>
            </w:pPr>
            <w:r>
              <w:rPr>
                <w:rFonts w:ascii="Arial" w:cs="Arial" w:eastAsia="Arial" w:hAnsi="Arial"/>
                <w:sz w:val="14"/>
                <w:szCs w:val="14"/>
                <w:b w:val="1"/>
                <w:bCs w:val="1"/>
                <w:color w:val="auto"/>
              </w:rPr>
              <w:t>Date</w:t>
            </w:r>
          </w:p>
        </w:tc>
        <w:tc>
          <w:tcPr>
            <w:tcW w:w="800" w:type="dxa"/>
            <w:vAlign w:val="bottom"/>
            <w:tcBorders>
              <w:bottom w:val="single" w:sz="8" w:color="FF0C07"/>
            </w:tcBorders>
          </w:tcPr>
          <w:p>
            <w:pPr>
              <w:jc w:val="right"/>
              <w:ind w:right="196"/>
              <w:spacing w:after="0"/>
              <w:rPr>
                <w:sz w:val="20"/>
                <w:szCs w:val="20"/>
                <w:color w:val="auto"/>
              </w:rPr>
            </w:pPr>
            <w:r>
              <w:rPr>
                <w:rFonts w:ascii="Arial" w:cs="Arial" w:eastAsia="Arial" w:hAnsi="Arial"/>
                <w:sz w:val="14"/>
                <w:szCs w:val="14"/>
                <w:b w:val="1"/>
                <w:bCs w:val="1"/>
                <w:color w:val="auto"/>
              </w:rPr>
              <w:t>Date</w:t>
            </w:r>
          </w:p>
        </w:tc>
        <w:tc>
          <w:tcPr>
            <w:tcW w:w="780" w:type="dxa"/>
            <w:vAlign w:val="bottom"/>
            <w:tcBorders>
              <w:bottom w:val="single" w:sz="8" w:color="FF0C07"/>
            </w:tcBorders>
          </w:tcPr>
          <w:p>
            <w:pPr>
              <w:jc w:val="right"/>
              <w:ind w:right="37"/>
              <w:spacing w:after="0" w:line="229" w:lineRule="exact"/>
              <w:rPr>
                <w:sz w:val="20"/>
                <w:szCs w:val="20"/>
                <w:color w:val="auto"/>
              </w:rPr>
            </w:pPr>
            <w:r>
              <w:rPr>
                <w:rFonts w:ascii="Arial" w:cs="Arial" w:eastAsia="Arial" w:hAnsi="Arial"/>
                <w:sz w:val="14"/>
                <w:szCs w:val="14"/>
                <w:b w:val="1"/>
                <w:bCs w:val="1"/>
                <w:color w:val="auto"/>
              </w:rPr>
              <w:t>Award</w:t>
            </w:r>
            <w:r>
              <w:rPr>
                <w:rFonts w:ascii="Arial" w:cs="Arial" w:eastAsia="Arial" w:hAnsi="Arial"/>
                <w:sz w:val="21"/>
                <w:szCs w:val="21"/>
                <w:b w:val="1"/>
                <w:bCs w:val="1"/>
                <w:color w:val="auto"/>
                <w:vertAlign w:val="superscript"/>
              </w:rPr>
              <w:t>(1)</w:t>
            </w:r>
          </w:p>
        </w:tc>
        <w:tc>
          <w:tcPr>
            <w:tcW w:w="780" w:type="dxa"/>
            <w:vAlign w:val="bottom"/>
            <w:tcBorders>
              <w:bottom w:val="single" w:sz="8" w:color="FF0C07"/>
            </w:tcBorders>
          </w:tcPr>
          <w:p>
            <w:pPr>
              <w:spacing w:after="0"/>
              <w:rPr>
                <w:sz w:val="20"/>
                <w:szCs w:val="20"/>
                <w:color w:val="auto"/>
              </w:rPr>
            </w:pPr>
          </w:p>
        </w:tc>
        <w:tc>
          <w:tcPr>
            <w:tcW w:w="700" w:type="dxa"/>
            <w:vAlign w:val="bottom"/>
            <w:tcBorders>
              <w:bottom w:val="single" w:sz="8" w:color="FF0C07"/>
            </w:tcBorders>
          </w:tcPr>
          <w:p>
            <w:pPr>
              <w:jc w:val="center"/>
              <w:spacing w:after="0" w:line="22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21"/>
                <w:szCs w:val="21"/>
                <w:b w:val="1"/>
                <w:bCs w:val="1"/>
                <w:color w:val="auto"/>
                <w:w w:val="94"/>
                <w:vertAlign w:val="superscript"/>
              </w:rPr>
              <w:t>(2)</w:t>
            </w:r>
          </w:p>
        </w:tc>
        <w:tc>
          <w:tcPr>
            <w:tcW w:w="780" w:type="dxa"/>
            <w:vAlign w:val="bottom"/>
            <w:tcBorders>
              <w:bottom w:val="single" w:sz="8" w:color="FF0C07"/>
            </w:tcBorders>
          </w:tcPr>
          <w:p>
            <w:pPr>
              <w:spacing w:after="0"/>
              <w:rPr>
                <w:sz w:val="20"/>
                <w:szCs w:val="20"/>
                <w:color w:val="auto"/>
              </w:rPr>
            </w:pPr>
          </w:p>
        </w:tc>
        <w:tc>
          <w:tcPr>
            <w:tcW w:w="820" w:type="dxa"/>
            <w:vAlign w:val="bottom"/>
            <w:tcBorders>
              <w:bottom w:val="single" w:sz="8" w:color="FF0C07"/>
            </w:tcBorders>
          </w:tcPr>
          <w:p>
            <w:pPr>
              <w:spacing w:after="0"/>
              <w:rPr>
                <w:sz w:val="20"/>
                <w:szCs w:val="20"/>
                <w:color w:val="auto"/>
              </w:rPr>
            </w:pPr>
          </w:p>
        </w:tc>
        <w:tc>
          <w:tcPr>
            <w:tcW w:w="940" w:type="dxa"/>
            <w:vAlign w:val="bottom"/>
            <w:tcBorders>
              <w:bottom w:val="single" w:sz="8" w:color="FF0C07"/>
            </w:tcBorders>
          </w:tcPr>
          <w:p>
            <w:pPr>
              <w:jc w:val="center"/>
              <w:ind w:right="237"/>
              <w:spacing w:after="0"/>
              <w:rPr>
                <w:sz w:val="20"/>
                <w:szCs w:val="20"/>
                <w:color w:val="auto"/>
              </w:rPr>
            </w:pPr>
            <w:r>
              <w:rPr>
                <w:rFonts w:ascii="Arial" w:cs="Arial" w:eastAsia="Arial" w:hAnsi="Arial"/>
                <w:sz w:val="14"/>
                <w:szCs w:val="14"/>
                <w:b w:val="1"/>
                <w:bCs w:val="1"/>
                <w:color w:val="auto"/>
              </w:rPr>
              <w:t>Awards</w:t>
            </w:r>
          </w:p>
        </w:tc>
        <w:tc>
          <w:tcPr>
            <w:tcW w:w="560" w:type="dxa"/>
            <w:vAlign w:val="bottom"/>
            <w:tcBorders>
              <w:bottom w:val="single" w:sz="8" w:color="FF0C07"/>
            </w:tcBorders>
          </w:tcPr>
          <w:p>
            <w:pPr>
              <w:spacing w:after="0"/>
              <w:rPr>
                <w:sz w:val="20"/>
                <w:szCs w:val="20"/>
                <w:color w:val="auto"/>
              </w:rPr>
            </w:pPr>
          </w:p>
        </w:tc>
        <w:tc>
          <w:tcPr>
            <w:tcW w:w="880" w:type="dxa"/>
            <w:vAlign w:val="bottom"/>
            <w:tcBorders>
              <w:bottom w:val="single" w:sz="8" w:color="FF0C07"/>
            </w:tcBorders>
          </w:tcPr>
          <w:p>
            <w:pPr>
              <w:jc w:val="center"/>
              <w:spacing w:after="0"/>
              <w:rPr>
                <w:sz w:val="20"/>
                <w:szCs w:val="20"/>
                <w:color w:val="auto"/>
              </w:rPr>
            </w:pPr>
            <w:r>
              <w:rPr>
                <w:rFonts w:ascii="Arial" w:cs="Arial" w:eastAsia="Arial" w:hAnsi="Arial"/>
                <w:sz w:val="14"/>
                <w:szCs w:val="14"/>
                <w:b w:val="1"/>
                <w:bCs w:val="1"/>
                <w:color w:val="auto"/>
              </w:rPr>
              <w:t>Units</w:t>
            </w:r>
          </w:p>
        </w:tc>
        <w:tc>
          <w:tcPr>
            <w:tcW w:w="980" w:type="dxa"/>
            <w:vAlign w:val="bottom"/>
            <w:tcBorders>
              <w:bottom w:val="single" w:sz="8" w:color="FF0C07"/>
            </w:tcBorders>
          </w:tcPr>
          <w:p>
            <w:pPr>
              <w:jc w:val="center"/>
              <w:spacing w:after="0" w:line="230" w:lineRule="exact"/>
              <w:rPr>
                <w:sz w:val="20"/>
                <w:szCs w:val="20"/>
                <w:color w:val="auto"/>
              </w:rPr>
            </w:pPr>
            <w:r>
              <w:rPr>
                <w:rFonts w:ascii="Arial" w:cs="Arial" w:eastAsia="Arial" w:hAnsi="Arial"/>
                <w:sz w:val="26"/>
                <w:szCs w:val="26"/>
                <w:b w:val="1"/>
                <w:bCs w:val="1"/>
                <w:color w:val="auto"/>
                <w:w w:val="95"/>
                <w:vertAlign w:val="subscript"/>
              </w:rPr>
              <w:t>($)</w:t>
            </w:r>
            <w:r>
              <w:rPr>
                <w:rFonts w:ascii="Arial" w:cs="Arial" w:eastAsia="Arial" w:hAnsi="Arial"/>
                <w:sz w:val="10"/>
                <w:szCs w:val="10"/>
                <w:b w:val="1"/>
                <w:bCs w:val="1"/>
                <w:color w:val="auto"/>
                <w:w w:val="95"/>
              </w:rPr>
              <w:t>(3)</w:t>
            </w:r>
          </w:p>
        </w:tc>
      </w:tr>
      <w:tr>
        <w:trPr>
          <w:trHeight w:val="149"/>
        </w:trPr>
        <w:tc>
          <w:tcPr>
            <w:tcW w:w="1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Threshold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Target</w:t>
            </w:r>
          </w:p>
        </w:tc>
        <w:tc>
          <w:tcPr>
            <w:tcW w:w="78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Maximum</w:t>
            </w:r>
          </w:p>
        </w:tc>
        <w:tc>
          <w:tcPr>
            <w:tcW w:w="8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Threshold</w:t>
            </w:r>
          </w:p>
        </w:tc>
        <w:tc>
          <w:tcPr>
            <w:tcW w:w="1500" w:type="dxa"/>
            <w:vAlign w:val="bottom"/>
            <w:gridSpan w:val="2"/>
          </w:tcPr>
          <w:p>
            <w:pPr>
              <w:jc w:val="right"/>
              <w:ind w:right="56"/>
              <w:spacing w:after="0" w:line="149" w:lineRule="exact"/>
              <w:rPr>
                <w:sz w:val="20"/>
                <w:szCs w:val="20"/>
                <w:color w:val="auto"/>
              </w:rPr>
            </w:pPr>
            <w:r>
              <w:rPr>
                <w:rFonts w:ascii="Arial" w:cs="Arial" w:eastAsia="Arial" w:hAnsi="Arial"/>
                <w:sz w:val="14"/>
                <w:szCs w:val="14"/>
                <w:b w:val="1"/>
                <w:bCs w:val="1"/>
                <w:color w:val="auto"/>
              </w:rPr>
              <w:t>Target   Maximum</w:t>
            </w: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306"/>
        </w:trPr>
        <w:tc>
          <w:tcPr>
            <w:tcW w:w="1220" w:type="dxa"/>
            <w:vAlign w:val="bottom"/>
          </w:tcPr>
          <w:p>
            <w:pPr>
              <w:spacing w:after="0"/>
              <w:rPr>
                <w:sz w:val="20"/>
                <w:szCs w:val="20"/>
                <w:color w:val="auto"/>
              </w:rPr>
            </w:pPr>
            <w:r>
              <w:rPr>
                <w:rFonts w:ascii="Arial" w:cs="Arial" w:eastAsia="Arial" w:hAnsi="Arial"/>
                <w:sz w:val="13"/>
                <w:szCs w:val="13"/>
                <w:color w:val="auto"/>
              </w:rPr>
              <w:t>Sumedh S. Thakar</w:t>
            </w:r>
          </w:p>
        </w:tc>
        <w:tc>
          <w:tcPr>
            <w:tcW w:w="1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Cash</w:t>
            </w:r>
          </w:p>
        </w:tc>
        <w:tc>
          <w:tcPr>
            <w:tcW w:w="780" w:type="dxa"/>
            <w:vAlign w:val="bottom"/>
          </w:tcPr>
          <w:p>
            <w:pPr>
              <w:jc w:val="right"/>
              <w:ind w:right="155"/>
              <w:spacing w:after="0" w:line="297"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(4)</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5"/>
        </w:trPr>
        <w:tc>
          <w:tcPr>
            <w:tcW w:w="1220" w:type="dxa"/>
            <w:vAlign w:val="bottom"/>
          </w:tcPr>
          <w:p>
            <w:pPr>
              <w:spacing w:after="0"/>
              <w:rPr>
                <w:sz w:val="11"/>
                <w:szCs w:val="11"/>
                <w:color w:val="auto"/>
              </w:rPr>
            </w:pPr>
          </w:p>
        </w:tc>
        <w:tc>
          <w:tcPr>
            <w:tcW w:w="1780" w:type="dxa"/>
            <w:vAlign w:val="bottom"/>
          </w:tcPr>
          <w:p>
            <w:pPr>
              <w:jc w:val="right"/>
              <w:ind w:right="76"/>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96"/>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Incentive</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220,000</w:t>
            </w:r>
          </w:p>
        </w:tc>
        <w:tc>
          <w:tcPr>
            <w:tcW w:w="700" w:type="dxa"/>
            <w:vAlign w:val="bottom"/>
          </w:tcPr>
          <w:p>
            <w:pPr>
              <w:ind w:left="140"/>
              <w:spacing w:after="0" w:line="135" w:lineRule="exact"/>
              <w:rPr>
                <w:sz w:val="20"/>
                <w:szCs w:val="20"/>
                <w:color w:val="auto"/>
              </w:rPr>
            </w:pPr>
            <w:r>
              <w:rPr>
                <w:rFonts w:ascii="Arial" w:cs="Arial" w:eastAsia="Arial" w:hAnsi="Arial"/>
                <w:sz w:val="13"/>
                <w:szCs w:val="13"/>
                <w:color w:val="auto"/>
              </w:rPr>
              <w:t>550,000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550,000</w:t>
            </w:r>
          </w:p>
        </w:tc>
        <w:tc>
          <w:tcPr>
            <w:tcW w:w="82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91"/>
              </w:rPr>
              <w:t>—</w:t>
            </w:r>
          </w:p>
        </w:tc>
        <w:tc>
          <w:tcPr>
            <w:tcW w:w="560" w:type="dxa"/>
            <w:vAlign w:val="bottom"/>
          </w:tcPr>
          <w:p>
            <w:pPr>
              <w:jc w:val="right"/>
              <w:ind w:right="116"/>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55"/>
              <w:spacing w:after="0" w:line="135" w:lineRule="exact"/>
              <w:rPr>
                <w:sz w:val="20"/>
                <w:szCs w:val="20"/>
                <w:color w:val="auto"/>
              </w:rPr>
            </w:pPr>
            <w:r>
              <w:rPr>
                <w:rFonts w:ascii="Arial" w:cs="Arial" w:eastAsia="Arial" w:hAnsi="Arial"/>
                <w:sz w:val="13"/>
                <w:szCs w:val="13"/>
                <w:color w:val="auto"/>
              </w:rPr>
              <w:t>—</w:t>
            </w:r>
          </w:p>
        </w:tc>
      </w:tr>
      <w:tr>
        <w:trPr>
          <w:trHeight w:val="135"/>
        </w:trPr>
        <w:tc>
          <w:tcPr>
            <w:tcW w:w="1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Time-based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220" w:type="dxa"/>
            <w:vAlign w:val="bottom"/>
          </w:tcPr>
          <w:p>
            <w:pPr>
              <w:spacing w:after="0"/>
              <w:rPr>
                <w:sz w:val="11"/>
                <w:szCs w:val="11"/>
                <w:color w:val="auto"/>
              </w:rPr>
            </w:pPr>
          </w:p>
        </w:tc>
        <w:tc>
          <w:tcPr>
            <w:tcW w:w="1780" w:type="dxa"/>
            <w:vAlign w:val="bottom"/>
          </w:tcPr>
          <w:p>
            <w:pPr>
              <w:jc w:val="right"/>
              <w:spacing w:after="0" w:line="135" w:lineRule="exact"/>
              <w:rPr>
                <w:sz w:val="20"/>
                <w:szCs w:val="20"/>
                <w:color w:val="auto"/>
              </w:rPr>
            </w:pPr>
            <w:r>
              <w:rPr>
                <w:rFonts w:ascii="Arial" w:cs="Arial" w:eastAsia="Arial" w:hAnsi="Arial"/>
                <w:sz w:val="13"/>
                <w:szCs w:val="13"/>
                <w:color w:val="auto"/>
              </w:rPr>
              <w:t>10/27/22</w:t>
            </w:r>
          </w:p>
        </w:tc>
        <w:tc>
          <w:tcPr>
            <w:tcW w:w="800" w:type="dxa"/>
            <w:vAlign w:val="bottom"/>
          </w:tcPr>
          <w:p>
            <w:pPr>
              <w:jc w:val="right"/>
              <w:ind w:right="36"/>
              <w:spacing w:after="0" w:line="135" w:lineRule="exact"/>
              <w:rPr>
                <w:sz w:val="20"/>
                <w:szCs w:val="20"/>
                <w:color w:val="auto"/>
              </w:rPr>
            </w:pPr>
            <w:r>
              <w:rPr>
                <w:rFonts w:ascii="Arial" w:cs="Arial" w:eastAsia="Arial" w:hAnsi="Arial"/>
                <w:sz w:val="13"/>
                <w:szCs w:val="13"/>
                <w:color w:val="auto"/>
              </w:rPr>
              <w:t>10/27/22</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RSUs</w:t>
            </w:r>
          </w:p>
        </w:tc>
        <w:tc>
          <w:tcPr>
            <w:tcW w:w="780" w:type="dxa"/>
            <w:vAlign w:val="bottom"/>
          </w:tcPr>
          <w:p>
            <w:pPr>
              <w:jc w:val="right"/>
              <w:ind w:right="35"/>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91"/>
              </w:rPr>
              <w:t>—</w:t>
            </w:r>
          </w:p>
        </w:tc>
        <w:tc>
          <w:tcPr>
            <w:tcW w:w="560" w:type="dxa"/>
            <w:vAlign w:val="bottom"/>
          </w:tcPr>
          <w:p>
            <w:pPr>
              <w:jc w:val="right"/>
              <w:ind w:right="116"/>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ind w:left="420"/>
              <w:spacing w:after="0" w:line="135" w:lineRule="exact"/>
              <w:rPr>
                <w:sz w:val="20"/>
                <w:szCs w:val="20"/>
                <w:color w:val="auto"/>
              </w:rPr>
            </w:pPr>
            <w:r>
              <w:rPr>
                <w:rFonts w:ascii="Arial" w:cs="Arial" w:eastAsia="Arial" w:hAnsi="Arial"/>
                <w:sz w:val="13"/>
                <w:szCs w:val="13"/>
                <w:color w:val="auto"/>
              </w:rPr>
              <w:t>45,535</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6,392,203</w:t>
            </w:r>
          </w:p>
        </w:tc>
      </w:tr>
      <w:tr>
        <w:trPr>
          <w:trHeight w:val="148"/>
        </w:trPr>
        <w:tc>
          <w:tcPr>
            <w:tcW w:w="122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10/27/22</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10/28/21</w:t>
            </w:r>
          </w:p>
        </w:tc>
        <w:tc>
          <w:tcPr>
            <w:tcW w:w="780" w:type="dxa"/>
            <w:vAlign w:val="bottom"/>
          </w:tcPr>
          <w:p>
            <w:pPr>
              <w:jc w:val="right"/>
              <w:spacing w:after="0"/>
              <w:rPr>
                <w:sz w:val="20"/>
                <w:szCs w:val="20"/>
                <w:color w:val="auto"/>
              </w:rPr>
            </w:pPr>
            <w:r>
              <w:rPr>
                <w:rFonts w:ascii="Arial" w:cs="Arial" w:eastAsia="Arial" w:hAnsi="Arial"/>
                <w:sz w:val="13"/>
                <w:szCs w:val="13"/>
                <w:color w:val="auto"/>
              </w:rPr>
              <w:t>PRSUs</w:t>
            </w: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ind w:left="140"/>
              <w:spacing w:after="0" w:line="149" w:lineRule="exact"/>
              <w:rPr>
                <w:sz w:val="20"/>
                <w:szCs w:val="20"/>
                <w:color w:val="auto"/>
              </w:rPr>
            </w:pPr>
            <w:r>
              <w:rPr>
                <w:rFonts w:ascii="Arial" w:cs="Arial" w:eastAsia="Arial" w:hAnsi="Arial"/>
                <w:sz w:val="12"/>
                <w:szCs w:val="12"/>
                <w:color w:val="auto"/>
              </w:rPr>
              <w:t>13,096</w:t>
            </w:r>
            <w:r>
              <w:rPr>
                <w:rFonts w:ascii="Arial" w:cs="Arial" w:eastAsia="Arial" w:hAnsi="Arial"/>
                <w:sz w:val="17"/>
                <w:szCs w:val="17"/>
                <w:color w:val="auto"/>
                <w:vertAlign w:val="superscript"/>
              </w:rPr>
              <w:t>5)</w:t>
            </w: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26,192</w:t>
            </w:r>
          </w:p>
        </w:tc>
        <w:tc>
          <w:tcPr>
            <w:tcW w:w="8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1,838,416</w:t>
            </w:r>
          </w:p>
        </w:tc>
      </w:tr>
      <w:tr>
        <w:trPr>
          <w:trHeight w:val="153"/>
        </w:trPr>
        <w:tc>
          <w:tcPr>
            <w:tcW w:w="1220" w:type="dxa"/>
            <w:vAlign w:val="bottom"/>
            <w:tcBorders>
              <w:bottom w:val="single" w:sz="8" w:color="FF0C07"/>
            </w:tcBorders>
          </w:tcPr>
          <w:p>
            <w:pPr>
              <w:spacing w:after="0"/>
              <w:rPr>
                <w:sz w:val="13"/>
                <w:szCs w:val="13"/>
                <w:color w:val="auto"/>
              </w:rPr>
            </w:pPr>
          </w:p>
        </w:tc>
        <w:tc>
          <w:tcPr>
            <w:tcW w:w="1780" w:type="dxa"/>
            <w:vAlign w:val="bottom"/>
            <w:tcBorders>
              <w:bottom w:val="single" w:sz="8" w:color="FF0C07"/>
            </w:tcBorders>
          </w:tcPr>
          <w:p>
            <w:pPr>
              <w:jc w:val="right"/>
              <w:spacing w:after="0"/>
              <w:rPr>
                <w:sz w:val="20"/>
                <w:szCs w:val="20"/>
                <w:color w:val="auto"/>
              </w:rPr>
            </w:pPr>
            <w:r>
              <w:rPr>
                <w:rFonts w:ascii="Arial" w:cs="Arial" w:eastAsia="Arial" w:hAnsi="Arial"/>
                <w:sz w:val="13"/>
                <w:szCs w:val="13"/>
                <w:color w:val="auto"/>
              </w:rPr>
              <w:t>10/27/22</w:t>
            </w:r>
          </w:p>
        </w:tc>
        <w:tc>
          <w:tcPr>
            <w:tcW w:w="800" w:type="dxa"/>
            <w:vAlign w:val="bottom"/>
            <w:tcBorders>
              <w:bottom w:val="single" w:sz="8" w:color="FF0C07"/>
            </w:tcBorders>
          </w:tcPr>
          <w:p>
            <w:pPr>
              <w:jc w:val="right"/>
              <w:ind w:right="36"/>
              <w:spacing w:after="0"/>
              <w:rPr>
                <w:sz w:val="20"/>
                <w:szCs w:val="20"/>
                <w:color w:val="auto"/>
              </w:rPr>
            </w:pPr>
            <w:r>
              <w:rPr>
                <w:rFonts w:ascii="Arial" w:cs="Arial" w:eastAsia="Arial" w:hAnsi="Arial"/>
                <w:sz w:val="13"/>
                <w:szCs w:val="13"/>
                <w:color w:val="auto"/>
              </w:rPr>
              <w:t>10/27/22</w:t>
            </w:r>
          </w:p>
        </w:tc>
        <w:tc>
          <w:tcPr>
            <w:tcW w:w="780" w:type="dxa"/>
            <w:vAlign w:val="bottom"/>
            <w:tcBorders>
              <w:bottom w:val="single" w:sz="8" w:color="FF0C07"/>
            </w:tcBorders>
          </w:tcPr>
          <w:p>
            <w:pPr>
              <w:jc w:val="right"/>
              <w:spacing w:after="0"/>
              <w:rPr>
                <w:sz w:val="20"/>
                <w:szCs w:val="20"/>
                <w:color w:val="auto"/>
              </w:rPr>
            </w:pPr>
            <w:r>
              <w:rPr>
                <w:rFonts w:ascii="Arial" w:cs="Arial" w:eastAsia="Arial" w:hAnsi="Arial"/>
                <w:sz w:val="13"/>
                <w:szCs w:val="13"/>
                <w:color w:val="auto"/>
              </w:rPr>
              <w:t>PRSUs</w:t>
            </w:r>
          </w:p>
        </w:tc>
        <w:tc>
          <w:tcPr>
            <w:tcW w:w="780" w:type="dxa"/>
            <w:vAlign w:val="bottom"/>
            <w:tcBorders>
              <w:bottom w:val="single" w:sz="8" w:color="FF0C07"/>
            </w:tcBorders>
          </w:tcPr>
          <w:p>
            <w:pPr>
              <w:jc w:val="right"/>
              <w:ind w:right="35"/>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FF0C07"/>
            </w:tcBorders>
          </w:tcPr>
          <w:p>
            <w:pPr>
              <w:ind w:left="40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FF0C07"/>
            </w:tcBorders>
          </w:tcPr>
          <w:p>
            <w:pPr>
              <w:ind w:left="5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FF0C07"/>
            </w:tcBorders>
          </w:tcPr>
          <w:p>
            <w:pPr>
              <w:ind w:left="5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F0C07"/>
            </w:tcBorders>
          </w:tcPr>
          <w:p>
            <w:pPr>
              <w:jc w:val="center"/>
              <w:ind w:right="97"/>
              <w:spacing w:after="0" w:line="153" w:lineRule="exact"/>
              <w:rPr>
                <w:sz w:val="20"/>
                <w:szCs w:val="20"/>
                <w:color w:val="auto"/>
              </w:rPr>
            </w:pPr>
            <w:r>
              <w:rPr>
                <w:rFonts w:ascii="Arial" w:cs="Arial" w:eastAsia="Arial" w:hAnsi="Arial"/>
                <w:sz w:val="12"/>
                <w:szCs w:val="12"/>
                <w:color w:val="auto"/>
                <w:w w:val="98"/>
              </w:rPr>
              <w:t>15,178</w:t>
            </w:r>
            <w:r>
              <w:rPr>
                <w:rFonts w:ascii="Arial" w:cs="Arial" w:eastAsia="Arial" w:hAnsi="Arial"/>
                <w:sz w:val="17"/>
                <w:szCs w:val="17"/>
                <w:color w:val="auto"/>
                <w:w w:val="98"/>
                <w:vertAlign w:val="superscript"/>
              </w:rPr>
              <w:t>(5)</w:t>
            </w:r>
          </w:p>
        </w:tc>
        <w:tc>
          <w:tcPr>
            <w:tcW w:w="560" w:type="dxa"/>
            <w:vAlign w:val="bottom"/>
            <w:tcBorders>
              <w:bottom w:val="single" w:sz="8" w:color="FF0C07"/>
            </w:tcBorders>
          </w:tcPr>
          <w:p>
            <w:pPr>
              <w:jc w:val="right"/>
              <w:ind w:right="36"/>
              <w:spacing w:after="0"/>
              <w:rPr>
                <w:sz w:val="20"/>
                <w:szCs w:val="20"/>
                <w:color w:val="auto"/>
              </w:rPr>
            </w:pPr>
            <w:r>
              <w:rPr>
                <w:rFonts w:ascii="Arial" w:cs="Arial" w:eastAsia="Arial" w:hAnsi="Arial"/>
                <w:sz w:val="13"/>
                <w:szCs w:val="13"/>
                <w:color w:val="auto"/>
              </w:rPr>
              <w:t>30,356</w:t>
            </w:r>
          </w:p>
        </w:tc>
        <w:tc>
          <w:tcPr>
            <w:tcW w:w="880" w:type="dxa"/>
            <w:vAlign w:val="bottom"/>
            <w:tcBorders>
              <w:bottom w:val="single" w:sz="8" w:color="FF0C07"/>
            </w:tcBorders>
          </w:tcPr>
          <w:p>
            <w:pPr>
              <w:ind w:left="6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F0C07"/>
            </w:tcBorders>
          </w:tcPr>
          <w:p>
            <w:pPr>
              <w:jc w:val="right"/>
              <w:spacing w:after="0"/>
              <w:rPr>
                <w:sz w:val="20"/>
                <w:szCs w:val="20"/>
                <w:color w:val="auto"/>
              </w:rPr>
            </w:pPr>
            <w:r>
              <w:rPr>
                <w:rFonts w:ascii="Arial" w:cs="Arial" w:eastAsia="Arial" w:hAnsi="Arial"/>
                <w:sz w:val="13"/>
                <w:szCs w:val="13"/>
                <w:color w:val="auto"/>
              </w:rPr>
              <w:t>2,130,688</w:t>
            </w:r>
          </w:p>
        </w:tc>
      </w:tr>
      <w:tr>
        <w:trPr>
          <w:trHeight w:val="111"/>
        </w:trPr>
        <w:tc>
          <w:tcPr>
            <w:tcW w:w="1220" w:type="dxa"/>
            <w:vAlign w:val="bottom"/>
          </w:tcPr>
          <w:p>
            <w:pPr>
              <w:spacing w:after="0" w:line="111" w:lineRule="exact"/>
              <w:rPr>
                <w:sz w:val="20"/>
                <w:szCs w:val="20"/>
                <w:color w:val="auto"/>
              </w:rPr>
            </w:pPr>
            <w:r>
              <w:rPr>
                <w:rFonts w:ascii="Arial" w:cs="Arial" w:eastAsia="Arial" w:hAnsi="Arial"/>
                <w:sz w:val="12"/>
                <w:szCs w:val="12"/>
                <w:color w:val="auto"/>
              </w:rPr>
              <w:t>Joo Mi Kim</w:t>
            </w:r>
          </w:p>
        </w:tc>
        <w:tc>
          <w:tcPr>
            <w:tcW w:w="1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2"/>
                <w:szCs w:val="12"/>
                <w:color w:val="auto"/>
              </w:rPr>
              <w:t>Cash</w:t>
            </w: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35"/>
        </w:trPr>
        <w:tc>
          <w:tcPr>
            <w:tcW w:w="1220" w:type="dxa"/>
            <w:vAlign w:val="bottom"/>
          </w:tcPr>
          <w:p>
            <w:pPr>
              <w:spacing w:after="0"/>
              <w:rPr>
                <w:sz w:val="11"/>
                <w:szCs w:val="11"/>
                <w:color w:val="auto"/>
              </w:rPr>
            </w:pPr>
          </w:p>
        </w:tc>
        <w:tc>
          <w:tcPr>
            <w:tcW w:w="1780" w:type="dxa"/>
            <w:vAlign w:val="bottom"/>
          </w:tcPr>
          <w:p>
            <w:pPr>
              <w:jc w:val="right"/>
              <w:ind w:right="76"/>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96"/>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Incentive</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82,000</w:t>
            </w:r>
          </w:p>
        </w:tc>
        <w:tc>
          <w:tcPr>
            <w:tcW w:w="700" w:type="dxa"/>
            <w:vAlign w:val="bottom"/>
          </w:tcPr>
          <w:p>
            <w:pPr>
              <w:ind w:left="140"/>
              <w:spacing w:after="0" w:line="135" w:lineRule="exact"/>
              <w:rPr>
                <w:sz w:val="20"/>
                <w:szCs w:val="20"/>
                <w:color w:val="auto"/>
              </w:rPr>
            </w:pPr>
            <w:r>
              <w:rPr>
                <w:rFonts w:ascii="Arial" w:cs="Arial" w:eastAsia="Arial" w:hAnsi="Arial"/>
                <w:sz w:val="13"/>
                <w:szCs w:val="13"/>
                <w:color w:val="auto"/>
              </w:rPr>
              <w:t>205,000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205,000</w:t>
            </w:r>
          </w:p>
        </w:tc>
        <w:tc>
          <w:tcPr>
            <w:tcW w:w="82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91"/>
              </w:rPr>
              <w:t>—</w:t>
            </w:r>
          </w:p>
        </w:tc>
        <w:tc>
          <w:tcPr>
            <w:tcW w:w="560" w:type="dxa"/>
            <w:vAlign w:val="bottom"/>
          </w:tcPr>
          <w:p>
            <w:pPr>
              <w:jc w:val="right"/>
              <w:ind w:right="116"/>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55"/>
              <w:spacing w:after="0" w:line="135" w:lineRule="exact"/>
              <w:rPr>
                <w:sz w:val="20"/>
                <w:szCs w:val="20"/>
                <w:color w:val="auto"/>
              </w:rPr>
            </w:pPr>
            <w:r>
              <w:rPr>
                <w:rFonts w:ascii="Arial" w:cs="Arial" w:eastAsia="Arial" w:hAnsi="Arial"/>
                <w:sz w:val="13"/>
                <w:szCs w:val="13"/>
                <w:color w:val="auto"/>
              </w:rPr>
              <w:t>—</w:t>
            </w:r>
          </w:p>
        </w:tc>
      </w:tr>
      <w:tr>
        <w:trPr>
          <w:trHeight w:val="135"/>
        </w:trPr>
        <w:tc>
          <w:tcPr>
            <w:tcW w:w="1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Time-based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220" w:type="dxa"/>
            <w:vAlign w:val="bottom"/>
          </w:tcPr>
          <w:p>
            <w:pPr>
              <w:spacing w:after="0"/>
              <w:rPr>
                <w:sz w:val="11"/>
                <w:szCs w:val="11"/>
                <w:color w:val="auto"/>
              </w:rPr>
            </w:pPr>
          </w:p>
        </w:tc>
        <w:tc>
          <w:tcPr>
            <w:tcW w:w="1780" w:type="dxa"/>
            <w:vAlign w:val="bottom"/>
          </w:tcPr>
          <w:p>
            <w:pPr>
              <w:jc w:val="right"/>
              <w:spacing w:after="0" w:line="135" w:lineRule="exact"/>
              <w:rPr>
                <w:sz w:val="20"/>
                <w:szCs w:val="20"/>
                <w:color w:val="auto"/>
              </w:rPr>
            </w:pPr>
            <w:r>
              <w:rPr>
                <w:rFonts w:ascii="Arial" w:cs="Arial" w:eastAsia="Arial" w:hAnsi="Arial"/>
                <w:sz w:val="13"/>
                <w:szCs w:val="13"/>
                <w:color w:val="auto"/>
              </w:rPr>
              <w:t>10/27/22</w:t>
            </w:r>
          </w:p>
        </w:tc>
        <w:tc>
          <w:tcPr>
            <w:tcW w:w="800" w:type="dxa"/>
            <w:vAlign w:val="bottom"/>
          </w:tcPr>
          <w:p>
            <w:pPr>
              <w:jc w:val="right"/>
              <w:ind w:right="36"/>
              <w:spacing w:after="0" w:line="135" w:lineRule="exact"/>
              <w:rPr>
                <w:sz w:val="20"/>
                <w:szCs w:val="20"/>
                <w:color w:val="auto"/>
              </w:rPr>
            </w:pPr>
            <w:r>
              <w:rPr>
                <w:rFonts w:ascii="Arial" w:cs="Arial" w:eastAsia="Arial" w:hAnsi="Arial"/>
                <w:sz w:val="13"/>
                <w:szCs w:val="13"/>
                <w:color w:val="auto"/>
              </w:rPr>
              <w:t>10/27/22</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RSUs</w:t>
            </w:r>
          </w:p>
        </w:tc>
        <w:tc>
          <w:tcPr>
            <w:tcW w:w="780" w:type="dxa"/>
            <w:vAlign w:val="bottom"/>
          </w:tcPr>
          <w:p>
            <w:pPr>
              <w:jc w:val="right"/>
              <w:ind w:right="35"/>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91"/>
              </w:rPr>
              <w:t>—</w:t>
            </w:r>
          </w:p>
        </w:tc>
        <w:tc>
          <w:tcPr>
            <w:tcW w:w="560" w:type="dxa"/>
            <w:vAlign w:val="bottom"/>
          </w:tcPr>
          <w:p>
            <w:pPr>
              <w:jc w:val="right"/>
              <w:ind w:right="116"/>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ind w:left="420"/>
              <w:spacing w:after="0" w:line="135" w:lineRule="exact"/>
              <w:rPr>
                <w:sz w:val="20"/>
                <w:szCs w:val="20"/>
                <w:color w:val="auto"/>
              </w:rPr>
            </w:pPr>
            <w:r>
              <w:rPr>
                <w:rFonts w:ascii="Arial" w:cs="Arial" w:eastAsia="Arial" w:hAnsi="Arial"/>
                <w:sz w:val="13"/>
                <w:szCs w:val="13"/>
                <w:color w:val="auto"/>
              </w:rPr>
              <w:t>27,461</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3,854,975</w:t>
            </w:r>
          </w:p>
        </w:tc>
      </w:tr>
      <w:tr>
        <w:trPr>
          <w:trHeight w:val="135"/>
        </w:trPr>
        <w:tc>
          <w:tcPr>
            <w:tcW w:w="1220" w:type="dxa"/>
            <w:vAlign w:val="bottom"/>
          </w:tcPr>
          <w:p>
            <w:pPr>
              <w:spacing w:after="0"/>
              <w:rPr>
                <w:sz w:val="11"/>
                <w:szCs w:val="11"/>
                <w:color w:val="auto"/>
              </w:rPr>
            </w:pPr>
          </w:p>
        </w:tc>
        <w:tc>
          <w:tcPr>
            <w:tcW w:w="1780" w:type="dxa"/>
            <w:vAlign w:val="bottom"/>
          </w:tcPr>
          <w:p>
            <w:pPr>
              <w:jc w:val="right"/>
              <w:spacing w:after="0" w:line="135" w:lineRule="exact"/>
              <w:rPr>
                <w:sz w:val="20"/>
                <w:szCs w:val="20"/>
                <w:color w:val="auto"/>
              </w:rPr>
            </w:pPr>
            <w:r>
              <w:rPr>
                <w:rFonts w:ascii="Arial" w:cs="Arial" w:eastAsia="Arial" w:hAnsi="Arial"/>
                <w:sz w:val="13"/>
                <w:szCs w:val="13"/>
                <w:color w:val="auto"/>
              </w:rPr>
              <w:t>10/27/22</w:t>
            </w:r>
          </w:p>
        </w:tc>
        <w:tc>
          <w:tcPr>
            <w:tcW w:w="800" w:type="dxa"/>
            <w:vAlign w:val="bottom"/>
          </w:tcPr>
          <w:p>
            <w:pPr>
              <w:jc w:val="right"/>
              <w:ind w:right="36"/>
              <w:spacing w:after="0" w:line="135" w:lineRule="exact"/>
              <w:rPr>
                <w:sz w:val="20"/>
                <w:szCs w:val="20"/>
                <w:color w:val="auto"/>
              </w:rPr>
            </w:pPr>
            <w:r>
              <w:rPr>
                <w:rFonts w:ascii="Arial" w:cs="Arial" w:eastAsia="Arial" w:hAnsi="Arial"/>
                <w:sz w:val="13"/>
                <w:szCs w:val="13"/>
                <w:color w:val="auto"/>
              </w:rPr>
              <w:t>10/28/21</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PRSUs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ind w:left="200"/>
              <w:spacing w:after="0" w:line="135" w:lineRule="exact"/>
              <w:rPr>
                <w:sz w:val="20"/>
                <w:szCs w:val="20"/>
                <w:color w:val="auto"/>
              </w:rPr>
            </w:pPr>
            <w:r>
              <w:rPr>
                <w:rFonts w:ascii="Arial" w:cs="Arial" w:eastAsia="Arial" w:hAnsi="Arial"/>
                <w:sz w:val="11"/>
                <w:szCs w:val="11"/>
                <w:color w:val="auto"/>
              </w:rPr>
              <w:t>4,728</w:t>
            </w:r>
            <w:r>
              <w:rPr>
                <w:rFonts w:ascii="Arial" w:cs="Arial" w:eastAsia="Arial" w:hAnsi="Arial"/>
                <w:sz w:val="15"/>
                <w:szCs w:val="15"/>
                <w:color w:val="auto"/>
                <w:vertAlign w:val="superscript"/>
              </w:rPr>
              <w:t>(5)</w:t>
            </w:r>
          </w:p>
        </w:tc>
        <w:tc>
          <w:tcPr>
            <w:tcW w:w="560" w:type="dxa"/>
            <w:vAlign w:val="bottom"/>
          </w:tcPr>
          <w:p>
            <w:pPr>
              <w:jc w:val="right"/>
              <w:ind w:right="36"/>
              <w:spacing w:after="0" w:line="135" w:lineRule="exact"/>
              <w:rPr>
                <w:sz w:val="20"/>
                <w:szCs w:val="20"/>
                <w:color w:val="auto"/>
              </w:rPr>
            </w:pPr>
            <w:r>
              <w:rPr>
                <w:rFonts w:ascii="Arial" w:cs="Arial" w:eastAsia="Arial" w:hAnsi="Arial"/>
                <w:sz w:val="13"/>
                <w:szCs w:val="13"/>
                <w:color w:val="auto"/>
              </w:rPr>
              <w:t>9,456</w:t>
            </w:r>
          </w:p>
        </w:tc>
        <w:tc>
          <w:tcPr>
            <w:tcW w:w="8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663,717</w:t>
            </w:r>
          </w:p>
        </w:tc>
      </w:tr>
      <w:tr>
        <w:trPr>
          <w:trHeight w:val="180"/>
        </w:trPr>
        <w:tc>
          <w:tcPr>
            <w:tcW w:w="1220" w:type="dxa"/>
            <w:vAlign w:val="bottom"/>
            <w:tcBorders>
              <w:bottom w:val="single" w:sz="8" w:color="FF0C07"/>
            </w:tcBorders>
          </w:tcPr>
          <w:p>
            <w:pPr>
              <w:spacing w:after="0"/>
              <w:rPr>
                <w:sz w:val="15"/>
                <w:szCs w:val="15"/>
                <w:color w:val="auto"/>
              </w:rPr>
            </w:pPr>
          </w:p>
        </w:tc>
        <w:tc>
          <w:tcPr>
            <w:tcW w:w="1780" w:type="dxa"/>
            <w:vAlign w:val="bottom"/>
            <w:tcBorders>
              <w:bottom w:val="single" w:sz="8" w:color="FF0C07"/>
            </w:tcBorders>
          </w:tcPr>
          <w:p>
            <w:pPr>
              <w:jc w:val="right"/>
              <w:spacing w:after="0"/>
              <w:rPr>
                <w:sz w:val="20"/>
                <w:szCs w:val="20"/>
                <w:color w:val="auto"/>
              </w:rPr>
            </w:pPr>
            <w:r>
              <w:rPr>
                <w:rFonts w:ascii="Arial" w:cs="Arial" w:eastAsia="Arial" w:hAnsi="Arial"/>
                <w:sz w:val="13"/>
                <w:szCs w:val="13"/>
                <w:color w:val="auto"/>
              </w:rPr>
              <w:t>10/27/22</w:t>
            </w:r>
          </w:p>
        </w:tc>
        <w:tc>
          <w:tcPr>
            <w:tcW w:w="800" w:type="dxa"/>
            <w:vAlign w:val="bottom"/>
            <w:tcBorders>
              <w:bottom w:val="single" w:sz="8" w:color="FF0C07"/>
            </w:tcBorders>
          </w:tcPr>
          <w:p>
            <w:pPr>
              <w:jc w:val="right"/>
              <w:ind w:right="36"/>
              <w:spacing w:after="0"/>
              <w:rPr>
                <w:sz w:val="20"/>
                <w:szCs w:val="20"/>
                <w:color w:val="auto"/>
              </w:rPr>
            </w:pPr>
            <w:r>
              <w:rPr>
                <w:rFonts w:ascii="Arial" w:cs="Arial" w:eastAsia="Arial" w:hAnsi="Arial"/>
                <w:sz w:val="13"/>
                <w:szCs w:val="13"/>
                <w:color w:val="auto"/>
              </w:rPr>
              <w:t>10/27/22</w:t>
            </w:r>
          </w:p>
        </w:tc>
        <w:tc>
          <w:tcPr>
            <w:tcW w:w="780" w:type="dxa"/>
            <w:vAlign w:val="bottom"/>
            <w:tcBorders>
              <w:bottom w:val="single" w:sz="8" w:color="FF0C07"/>
            </w:tcBorders>
          </w:tcPr>
          <w:p>
            <w:pPr>
              <w:jc w:val="right"/>
              <w:spacing w:after="0"/>
              <w:rPr>
                <w:sz w:val="20"/>
                <w:szCs w:val="20"/>
                <w:color w:val="auto"/>
              </w:rPr>
            </w:pPr>
            <w:r>
              <w:rPr>
                <w:rFonts w:ascii="Arial" w:cs="Arial" w:eastAsia="Arial" w:hAnsi="Arial"/>
                <w:sz w:val="13"/>
                <w:szCs w:val="13"/>
                <w:color w:val="auto"/>
              </w:rPr>
              <w:t>PRSUs</w:t>
            </w:r>
          </w:p>
        </w:tc>
        <w:tc>
          <w:tcPr>
            <w:tcW w:w="780" w:type="dxa"/>
            <w:vAlign w:val="bottom"/>
            <w:tcBorders>
              <w:bottom w:val="single" w:sz="8" w:color="FF0C07"/>
            </w:tcBorders>
          </w:tcPr>
          <w:p>
            <w:pPr>
              <w:jc w:val="right"/>
              <w:ind w:right="35"/>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FF0C07"/>
            </w:tcBorders>
          </w:tcPr>
          <w:p>
            <w:pPr>
              <w:ind w:left="40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FF0C07"/>
            </w:tcBorders>
          </w:tcPr>
          <w:p>
            <w:pPr>
              <w:ind w:left="5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FF0C07"/>
            </w:tcBorders>
          </w:tcPr>
          <w:p>
            <w:pPr>
              <w:ind w:left="5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F0C07"/>
            </w:tcBorders>
          </w:tcPr>
          <w:p>
            <w:pPr>
              <w:ind w:left="200"/>
              <w:spacing w:after="0" w:line="180" w:lineRule="exact"/>
              <w:rPr>
                <w:sz w:val="20"/>
                <w:szCs w:val="20"/>
                <w:color w:val="auto"/>
              </w:rPr>
            </w:pPr>
            <w:r>
              <w:rPr>
                <w:rFonts w:ascii="Arial" w:cs="Arial" w:eastAsia="Arial" w:hAnsi="Arial"/>
                <w:sz w:val="13"/>
                <w:szCs w:val="13"/>
                <w:color w:val="auto"/>
              </w:rPr>
              <w:t>3,923</w:t>
            </w:r>
            <w:r>
              <w:rPr>
                <w:rFonts w:ascii="Arial" w:cs="Arial" w:eastAsia="Arial" w:hAnsi="Arial"/>
                <w:sz w:val="18"/>
                <w:szCs w:val="18"/>
                <w:color w:val="auto"/>
                <w:vertAlign w:val="superscript"/>
              </w:rPr>
              <w:t>(5)</w:t>
            </w:r>
          </w:p>
        </w:tc>
        <w:tc>
          <w:tcPr>
            <w:tcW w:w="560" w:type="dxa"/>
            <w:vAlign w:val="bottom"/>
            <w:tcBorders>
              <w:bottom w:val="single" w:sz="8" w:color="FF0C07"/>
            </w:tcBorders>
          </w:tcPr>
          <w:p>
            <w:pPr>
              <w:jc w:val="right"/>
              <w:ind w:right="36"/>
              <w:spacing w:after="0"/>
              <w:rPr>
                <w:sz w:val="20"/>
                <w:szCs w:val="20"/>
                <w:color w:val="auto"/>
              </w:rPr>
            </w:pPr>
            <w:r>
              <w:rPr>
                <w:rFonts w:ascii="Arial" w:cs="Arial" w:eastAsia="Arial" w:hAnsi="Arial"/>
                <w:sz w:val="13"/>
                <w:szCs w:val="13"/>
                <w:color w:val="auto"/>
              </w:rPr>
              <w:t>7,846</w:t>
            </w:r>
          </w:p>
        </w:tc>
        <w:tc>
          <w:tcPr>
            <w:tcW w:w="880" w:type="dxa"/>
            <w:vAlign w:val="bottom"/>
            <w:tcBorders>
              <w:bottom w:val="single" w:sz="8" w:color="FF0C07"/>
            </w:tcBorders>
          </w:tcPr>
          <w:p>
            <w:pPr>
              <w:ind w:left="6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F0C07"/>
            </w:tcBorders>
          </w:tcPr>
          <w:p>
            <w:pPr>
              <w:jc w:val="right"/>
              <w:spacing w:after="0"/>
              <w:rPr>
                <w:sz w:val="20"/>
                <w:szCs w:val="20"/>
                <w:color w:val="auto"/>
              </w:rPr>
            </w:pPr>
            <w:r>
              <w:rPr>
                <w:rFonts w:ascii="Arial" w:cs="Arial" w:eastAsia="Arial" w:hAnsi="Arial"/>
                <w:sz w:val="13"/>
                <w:szCs w:val="13"/>
                <w:color w:val="auto"/>
              </w:rPr>
              <w:t>550,711</w:t>
            </w:r>
          </w:p>
        </w:tc>
      </w:tr>
      <w:tr>
        <w:trPr>
          <w:trHeight w:val="111"/>
        </w:trPr>
        <w:tc>
          <w:tcPr>
            <w:tcW w:w="1220" w:type="dxa"/>
            <w:vAlign w:val="bottom"/>
          </w:tcPr>
          <w:p>
            <w:pPr>
              <w:spacing w:after="0" w:line="111" w:lineRule="exact"/>
              <w:rPr>
                <w:sz w:val="20"/>
                <w:szCs w:val="20"/>
                <w:color w:val="auto"/>
              </w:rPr>
            </w:pPr>
            <w:r>
              <w:rPr>
                <w:rFonts w:ascii="Arial" w:cs="Arial" w:eastAsia="Arial" w:hAnsi="Arial"/>
                <w:sz w:val="12"/>
                <w:szCs w:val="12"/>
                <w:color w:val="auto"/>
              </w:rPr>
              <w:t>Allan Peters</w:t>
            </w:r>
          </w:p>
        </w:tc>
        <w:tc>
          <w:tcPr>
            <w:tcW w:w="1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2"/>
                <w:szCs w:val="12"/>
                <w:color w:val="auto"/>
              </w:rPr>
              <w:t>Cash</w:t>
            </w: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35"/>
        </w:trPr>
        <w:tc>
          <w:tcPr>
            <w:tcW w:w="1220" w:type="dxa"/>
            <w:vAlign w:val="bottom"/>
          </w:tcPr>
          <w:p>
            <w:pPr>
              <w:spacing w:after="0"/>
              <w:rPr>
                <w:sz w:val="11"/>
                <w:szCs w:val="11"/>
                <w:color w:val="auto"/>
              </w:rPr>
            </w:pPr>
          </w:p>
        </w:tc>
        <w:tc>
          <w:tcPr>
            <w:tcW w:w="1780" w:type="dxa"/>
            <w:vAlign w:val="bottom"/>
          </w:tcPr>
          <w:p>
            <w:pPr>
              <w:jc w:val="right"/>
              <w:ind w:right="76"/>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96"/>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Incentive</w:t>
            </w:r>
          </w:p>
        </w:tc>
        <w:tc>
          <w:tcPr>
            <w:tcW w:w="780" w:type="dxa"/>
            <w:vAlign w:val="bottom"/>
          </w:tcPr>
          <w:p>
            <w:pPr>
              <w:jc w:val="right"/>
              <w:ind w:right="35"/>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140"/>
              <w:spacing w:after="0" w:line="135" w:lineRule="exact"/>
              <w:rPr>
                <w:sz w:val="20"/>
                <w:szCs w:val="20"/>
                <w:color w:val="auto"/>
              </w:rPr>
            </w:pPr>
            <w:r>
              <w:rPr>
                <w:rFonts w:ascii="Arial" w:cs="Arial" w:eastAsia="Arial" w:hAnsi="Arial"/>
                <w:sz w:val="13"/>
                <w:szCs w:val="13"/>
                <w:color w:val="auto"/>
              </w:rPr>
              <w:t>325,000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650,000</w:t>
            </w:r>
          </w:p>
        </w:tc>
        <w:tc>
          <w:tcPr>
            <w:tcW w:w="82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91"/>
              </w:rPr>
              <w:t>—</w:t>
            </w:r>
          </w:p>
        </w:tc>
        <w:tc>
          <w:tcPr>
            <w:tcW w:w="560" w:type="dxa"/>
            <w:vAlign w:val="bottom"/>
          </w:tcPr>
          <w:p>
            <w:pPr>
              <w:jc w:val="right"/>
              <w:ind w:right="116"/>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55"/>
              <w:spacing w:after="0" w:line="135" w:lineRule="exact"/>
              <w:rPr>
                <w:sz w:val="20"/>
                <w:szCs w:val="20"/>
                <w:color w:val="auto"/>
              </w:rPr>
            </w:pPr>
            <w:r>
              <w:rPr>
                <w:rFonts w:ascii="Arial" w:cs="Arial" w:eastAsia="Arial" w:hAnsi="Arial"/>
                <w:sz w:val="13"/>
                <w:szCs w:val="13"/>
                <w:color w:val="auto"/>
              </w:rPr>
              <w:t>—</w:t>
            </w:r>
          </w:p>
        </w:tc>
      </w:tr>
      <w:tr>
        <w:trPr>
          <w:trHeight w:val="135"/>
        </w:trPr>
        <w:tc>
          <w:tcPr>
            <w:tcW w:w="1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Time-based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220" w:type="dxa"/>
            <w:vAlign w:val="bottom"/>
          </w:tcPr>
          <w:p>
            <w:pPr>
              <w:spacing w:after="0"/>
              <w:rPr>
                <w:sz w:val="11"/>
                <w:szCs w:val="11"/>
                <w:color w:val="auto"/>
              </w:rPr>
            </w:pPr>
          </w:p>
        </w:tc>
        <w:tc>
          <w:tcPr>
            <w:tcW w:w="1780" w:type="dxa"/>
            <w:vAlign w:val="bottom"/>
          </w:tcPr>
          <w:p>
            <w:pPr>
              <w:jc w:val="right"/>
              <w:spacing w:after="0" w:line="135" w:lineRule="exact"/>
              <w:rPr>
                <w:sz w:val="20"/>
                <w:szCs w:val="20"/>
                <w:color w:val="auto"/>
              </w:rPr>
            </w:pPr>
            <w:r>
              <w:rPr>
                <w:rFonts w:ascii="Arial" w:cs="Arial" w:eastAsia="Arial" w:hAnsi="Arial"/>
                <w:sz w:val="13"/>
                <w:szCs w:val="13"/>
                <w:color w:val="auto"/>
              </w:rPr>
              <w:t>10/27/22</w:t>
            </w:r>
          </w:p>
        </w:tc>
        <w:tc>
          <w:tcPr>
            <w:tcW w:w="800" w:type="dxa"/>
            <w:vAlign w:val="bottom"/>
          </w:tcPr>
          <w:p>
            <w:pPr>
              <w:jc w:val="right"/>
              <w:ind w:right="36"/>
              <w:spacing w:after="0" w:line="135" w:lineRule="exact"/>
              <w:rPr>
                <w:sz w:val="20"/>
                <w:szCs w:val="20"/>
                <w:color w:val="auto"/>
              </w:rPr>
            </w:pPr>
            <w:r>
              <w:rPr>
                <w:rFonts w:ascii="Arial" w:cs="Arial" w:eastAsia="Arial" w:hAnsi="Arial"/>
                <w:sz w:val="13"/>
                <w:szCs w:val="13"/>
                <w:color w:val="auto"/>
              </w:rPr>
              <w:t>10/27/22</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RSUs</w:t>
            </w:r>
          </w:p>
        </w:tc>
        <w:tc>
          <w:tcPr>
            <w:tcW w:w="780" w:type="dxa"/>
            <w:vAlign w:val="bottom"/>
          </w:tcPr>
          <w:p>
            <w:pPr>
              <w:jc w:val="right"/>
              <w:ind w:right="35"/>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91"/>
              </w:rPr>
              <w:t>—</w:t>
            </w:r>
          </w:p>
        </w:tc>
        <w:tc>
          <w:tcPr>
            <w:tcW w:w="560" w:type="dxa"/>
            <w:vAlign w:val="bottom"/>
          </w:tcPr>
          <w:p>
            <w:pPr>
              <w:jc w:val="right"/>
              <w:ind w:right="116"/>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ind w:left="420"/>
              <w:spacing w:after="0" w:line="135" w:lineRule="exact"/>
              <w:rPr>
                <w:sz w:val="20"/>
                <w:szCs w:val="20"/>
                <w:color w:val="auto"/>
              </w:rPr>
            </w:pPr>
            <w:r>
              <w:rPr>
                <w:rFonts w:ascii="Arial" w:cs="Arial" w:eastAsia="Arial" w:hAnsi="Arial"/>
                <w:sz w:val="13"/>
                <w:szCs w:val="13"/>
                <w:color w:val="auto"/>
              </w:rPr>
              <w:t>20,841</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2,925,660</w:t>
            </w:r>
          </w:p>
        </w:tc>
      </w:tr>
      <w:tr>
        <w:trPr>
          <w:trHeight w:val="135"/>
        </w:trPr>
        <w:tc>
          <w:tcPr>
            <w:tcW w:w="1220" w:type="dxa"/>
            <w:vAlign w:val="bottom"/>
          </w:tcPr>
          <w:p>
            <w:pPr>
              <w:spacing w:after="0"/>
              <w:rPr>
                <w:sz w:val="11"/>
                <w:szCs w:val="11"/>
                <w:color w:val="auto"/>
              </w:rPr>
            </w:pPr>
          </w:p>
        </w:tc>
        <w:tc>
          <w:tcPr>
            <w:tcW w:w="1780" w:type="dxa"/>
            <w:vAlign w:val="bottom"/>
          </w:tcPr>
          <w:p>
            <w:pPr>
              <w:jc w:val="right"/>
              <w:spacing w:after="0" w:line="135" w:lineRule="exact"/>
              <w:rPr>
                <w:sz w:val="20"/>
                <w:szCs w:val="20"/>
                <w:color w:val="auto"/>
              </w:rPr>
            </w:pPr>
            <w:r>
              <w:rPr>
                <w:rFonts w:ascii="Arial" w:cs="Arial" w:eastAsia="Arial" w:hAnsi="Arial"/>
                <w:sz w:val="13"/>
                <w:szCs w:val="13"/>
                <w:color w:val="auto"/>
              </w:rPr>
              <w:t>10/27/22</w:t>
            </w:r>
          </w:p>
        </w:tc>
        <w:tc>
          <w:tcPr>
            <w:tcW w:w="800" w:type="dxa"/>
            <w:vAlign w:val="bottom"/>
          </w:tcPr>
          <w:p>
            <w:pPr>
              <w:jc w:val="right"/>
              <w:ind w:right="36"/>
              <w:spacing w:after="0" w:line="135" w:lineRule="exact"/>
              <w:rPr>
                <w:sz w:val="20"/>
                <w:szCs w:val="20"/>
                <w:color w:val="auto"/>
              </w:rPr>
            </w:pPr>
            <w:r>
              <w:rPr>
                <w:rFonts w:ascii="Arial" w:cs="Arial" w:eastAsia="Arial" w:hAnsi="Arial"/>
                <w:sz w:val="13"/>
                <w:szCs w:val="13"/>
                <w:color w:val="auto"/>
              </w:rPr>
              <w:t>10/28/21</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PRSUs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ind w:left="200"/>
              <w:spacing w:after="0" w:line="135" w:lineRule="exact"/>
              <w:rPr>
                <w:sz w:val="20"/>
                <w:szCs w:val="20"/>
                <w:color w:val="auto"/>
              </w:rPr>
            </w:pPr>
            <w:r>
              <w:rPr>
                <w:rFonts w:ascii="Arial" w:cs="Arial" w:eastAsia="Arial" w:hAnsi="Arial"/>
                <w:sz w:val="11"/>
                <w:szCs w:val="11"/>
                <w:color w:val="auto"/>
              </w:rPr>
              <w:t>3,638</w:t>
            </w:r>
            <w:r>
              <w:rPr>
                <w:rFonts w:ascii="Arial" w:cs="Arial" w:eastAsia="Arial" w:hAnsi="Arial"/>
                <w:sz w:val="15"/>
                <w:szCs w:val="15"/>
                <w:color w:val="auto"/>
                <w:vertAlign w:val="superscript"/>
              </w:rPr>
              <w:t>(5)</w:t>
            </w:r>
          </w:p>
        </w:tc>
        <w:tc>
          <w:tcPr>
            <w:tcW w:w="560" w:type="dxa"/>
            <w:vAlign w:val="bottom"/>
          </w:tcPr>
          <w:p>
            <w:pPr>
              <w:jc w:val="right"/>
              <w:ind w:right="36"/>
              <w:spacing w:after="0" w:line="135" w:lineRule="exact"/>
              <w:rPr>
                <w:sz w:val="20"/>
                <w:szCs w:val="20"/>
                <w:color w:val="auto"/>
              </w:rPr>
            </w:pPr>
            <w:r>
              <w:rPr>
                <w:rFonts w:ascii="Arial" w:cs="Arial" w:eastAsia="Arial" w:hAnsi="Arial"/>
                <w:sz w:val="13"/>
                <w:szCs w:val="13"/>
                <w:color w:val="auto"/>
              </w:rPr>
              <w:t>7,276</w:t>
            </w:r>
          </w:p>
        </w:tc>
        <w:tc>
          <w:tcPr>
            <w:tcW w:w="8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510,702</w:t>
            </w:r>
          </w:p>
        </w:tc>
      </w:tr>
      <w:tr>
        <w:trPr>
          <w:trHeight w:val="180"/>
        </w:trPr>
        <w:tc>
          <w:tcPr>
            <w:tcW w:w="1220" w:type="dxa"/>
            <w:vAlign w:val="bottom"/>
            <w:tcBorders>
              <w:bottom w:val="single" w:sz="8" w:color="FF0C07"/>
            </w:tcBorders>
          </w:tcPr>
          <w:p>
            <w:pPr>
              <w:spacing w:after="0"/>
              <w:rPr>
                <w:sz w:val="15"/>
                <w:szCs w:val="15"/>
                <w:color w:val="auto"/>
              </w:rPr>
            </w:pPr>
          </w:p>
        </w:tc>
        <w:tc>
          <w:tcPr>
            <w:tcW w:w="1780" w:type="dxa"/>
            <w:vAlign w:val="bottom"/>
            <w:tcBorders>
              <w:bottom w:val="single" w:sz="8" w:color="FF0C07"/>
            </w:tcBorders>
          </w:tcPr>
          <w:p>
            <w:pPr>
              <w:jc w:val="right"/>
              <w:spacing w:after="0"/>
              <w:rPr>
                <w:sz w:val="20"/>
                <w:szCs w:val="20"/>
                <w:color w:val="auto"/>
              </w:rPr>
            </w:pPr>
            <w:r>
              <w:rPr>
                <w:rFonts w:ascii="Arial" w:cs="Arial" w:eastAsia="Arial" w:hAnsi="Arial"/>
                <w:sz w:val="13"/>
                <w:szCs w:val="13"/>
                <w:color w:val="auto"/>
              </w:rPr>
              <w:t>10/27/22</w:t>
            </w:r>
          </w:p>
        </w:tc>
        <w:tc>
          <w:tcPr>
            <w:tcW w:w="800" w:type="dxa"/>
            <w:vAlign w:val="bottom"/>
            <w:tcBorders>
              <w:bottom w:val="single" w:sz="8" w:color="FF0C07"/>
            </w:tcBorders>
          </w:tcPr>
          <w:p>
            <w:pPr>
              <w:jc w:val="right"/>
              <w:ind w:right="36"/>
              <w:spacing w:after="0"/>
              <w:rPr>
                <w:sz w:val="20"/>
                <w:szCs w:val="20"/>
                <w:color w:val="auto"/>
              </w:rPr>
            </w:pPr>
            <w:r>
              <w:rPr>
                <w:rFonts w:ascii="Arial" w:cs="Arial" w:eastAsia="Arial" w:hAnsi="Arial"/>
                <w:sz w:val="13"/>
                <w:szCs w:val="13"/>
                <w:color w:val="auto"/>
              </w:rPr>
              <w:t>10/27/22</w:t>
            </w:r>
          </w:p>
        </w:tc>
        <w:tc>
          <w:tcPr>
            <w:tcW w:w="780" w:type="dxa"/>
            <w:vAlign w:val="bottom"/>
            <w:tcBorders>
              <w:bottom w:val="single" w:sz="8" w:color="FF0C07"/>
            </w:tcBorders>
          </w:tcPr>
          <w:p>
            <w:pPr>
              <w:jc w:val="right"/>
              <w:spacing w:after="0"/>
              <w:rPr>
                <w:sz w:val="20"/>
                <w:szCs w:val="20"/>
                <w:color w:val="auto"/>
              </w:rPr>
            </w:pPr>
            <w:r>
              <w:rPr>
                <w:rFonts w:ascii="Arial" w:cs="Arial" w:eastAsia="Arial" w:hAnsi="Arial"/>
                <w:sz w:val="13"/>
                <w:szCs w:val="13"/>
                <w:color w:val="auto"/>
              </w:rPr>
              <w:t>PRSUs</w:t>
            </w:r>
          </w:p>
        </w:tc>
        <w:tc>
          <w:tcPr>
            <w:tcW w:w="780" w:type="dxa"/>
            <w:vAlign w:val="bottom"/>
            <w:tcBorders>
              <w:bottom w:val="single" w:sz="8" w:color="FF0C07"/>
            </w:tcBorders>
          </w:tcPr>
          <w:p>
            <w:pPr>
              <w:jc w:val="right"/>
              <w:ind w:right="35"/>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FF0C07"/>
            </w:tcBorders>
          </w:tcPr>
          <w:p>
            <w:pPr>
              <w:ind w:left="40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FF0C07"/>
            </w:tcBorders>
          </w:tcPr>
          <w:p>
            <w:pPr>
              <w:ind w:left="5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FF0C07"/>
            </w:tcBorders>
          </w:tcPr>
          <w:p>
            <w:pPr>
              <w:ind w:left="5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F0C07"/>
            </w:tcBorders>
          </w:tcPr>
          <w:p>
            <w:pPr>
              <w:ind w:left="200"/>
              <w:spacing w:after="0" w:line="180" w:lineRule="exact"/>
              <w:rPr>
                <w:sz w:val="20"/>
                <w:szCs w:val="20"/>
                <w:color w:val="auto"/>
              </w:rPr>
            </w:pPr>
            <w:r>
              <w:rPr>
                <w:rFonts w:ascii="Arial" w:cs="Arial" w:eastAsia="Arial" w:hAnsi="Arial"/>
                <w:sz w:val="13"/>
                <w:szCs w:val="13"/>
                <w:color w:val="auto"/>
              </w:rPr>
              <w:t>2,977</w:t>
            </w:r>
            <w:r>
              <w:rPr>
                <w:rFonts w:ascii="Arial" w:cs="Arial" w:eastAsia="Arial" w:hAnsi="Arial"/>
                <w:sz w:val="18"/>
                <w:szCs w:val="18"/>
                <w:color w:val="auto"/>
                <w:vertAlign w:val="superscript"/>
              </w:rPr>
              <w:t>(5)</w:t>
            </w:r>
          </w:p>
        </w:tc>
        <w:tc>
          <w:tcPr>
            <w:tcW w:w="560" w:type="dxa"/>
            <w:vAlign w:val="bottom"/>
            <w:tcBorders>
              <w:bottom w:val="single" w:sz="8" w:color="FF0C07"/>
            </w:tcBorders>
          </w:tcPr>
          <w:p>
            <w:pPr>
              <w:jc w:val="right"/>
              <w:ind w:right="36"/>
              <w:spacing w:after="0"/>
              <w:rPr>
                <w:sz w:val="20"/>
                <w:szCs w:val="20"/>
                <w:color w:val="auto"/>
              </w:rPr>
            </w:pPr>
            <w:r>
              <w:rPr>
                <w:rFonts w:ascii="Arial" w:cs="Arial" w:eastAsia="Arial" w:hAnsi="Arial"/>
                <w:sz w:val="13"/>
                <w:szCs w:val="13"/>
                <w:color w:val="auto"/>
              </w:rPr>
              <w:t>5,954</w:t>
            </w:r>
          </w:p>
        </w:tc>
        <w:tc>
          <w:tcPr>
            <w:tcW w:w="880" w:type="dxa"/>
            <w:vAlign w:val="bottom"/>
            <w:tcBorders>
              <w:bottom w:val="single" w:sz="8" w:color="FF0C07"/>
            </w:tcBorders>
          </w:tcPr>
          <w:p>
            <w:pPr>
              <w:ind w:left="6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F0C07"/>
            </w:tcBorders>
          </w:tcPr>
          <w:p>
            <w:pPr>
              <w:jc w:val="right"/>
              <w:spacing w:after="0"/>
              <w:rPr>
                <w:sz w:val="20"/>
                <w:szCs w:val="20"/>
                <w:color w:val="auto"/>
              </w:rPr>
            </w:pPr>
            <w:r>
              <w:rPr>
                <w:rFonts w:ascii="Arial" w:cs="Arial" w:eastAsia="Arial" w:hAnsi="Arial"/>
                <w:sz w:val="13"/>
                <w:szCs w:val="13"/>
                <w:color w:val="auto"/>
              </w:rPr>
              <w:t>417,911</w:t>
            </w:r>
          </w:p>
        </w:tc>
      </w:tr>
      <w:tr>
        <w:trPr>
          <w:trHeight w:val="111"/>
        </w:trPr>
        <w:tc>
          <w:tcPr>
            <w:tcW w:w="1220" w:type="dxa"/>
            <w:vAlign w:val="bottom"/>
          </w:tcPr>
          <w:p>
            <w:pPr>
              <w:spacing w:after="0" w:line="111" w:lineRule="exact"/>
              <w:rPr>
                <w:sz w:val="20"/>
                <w:szCs w:val="20"/>
                <w:color w:val="auto"/>
              </w:rPr>
            </w:pPr>
            <w:r>
              <w:rPr>
                <w:rFonts w:ascii="Arial" w:cs="Arial" w:eastAsia="Arial" w:hAnsi="Arial"/>
                <w:sz w:val="12"/>
                <w:szCs w:val="12"/>
                <w:color w:val="auto"/>
              </w:rPr>
              <w:t>Bruce K. Posey</w:t>
            </w:r>
          </w:p>
        </w:tc>
        <w:tc>
          <w:tcPr>
            <w:tcW w:w="1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2"/>
                <w:szCs w:val="12"/>
                <w:color w:val="auto"/>
              </w:rPr>
              <w:t>Cash</w:t>
            </w: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35"/>
        </w:trPr>
        <w:tc>
          <w:tcPr>
            <w:tcW w:w="1220" w:type="dxa"/>
            <w:vAlign w:val="bottom"/>
          </w:tcPr>
          <w:p>
            <w:pPr>
              <w:spacing w:after="0"/>
              <w:rPr>
                <w:sz w:val="11"/>
                <w:szCs w:val="11"/>
                <w:color w:val="auto"/>
              </w:rPr>
            </w:pPr>
          </w:p>
        </w:tc>
        <w:tc>
          <w:tcPr>
            <w:tcW w:w="1780" w:type="dxa"/>
            <w:vAlign w:val="bottom"/>
          </w:tcPr>
          <w:p>
            <w:pPr>
              <w:jc w:val="right"/>
              <w:ind w:right="76"/>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96"/>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Incentive</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72,000</w:t>
            </w:r>
          </w:p>
        </w:tc>
        <w:tc>
          <w:tcPr>
            <w:tcW w:w="700" w:type="dxa"/>
            <w:vAlign w:val="bottom"/>
          </w:tcPr>
          <w:p>
            <w:pPr>
              <w:ind w:left="140"/>
              <w:spacing w:after="0" w:line="135" w:lineRule="exact"/>
              <w:rPr>
                <w:sz w:val="20"/>
                <w:szCs w:val="20"/>
                <w:color w:val="auto"/>
              </w:rPr>
            </w:pPr>
            <w:r>
              <w:rPr>
                <w:rFonts w:ascii="Arial" w:cs="Arial" w:eastAsia="Arial" w:hAnsi="Arial"/>
                <w:sz w:val="13"/>
                <w:szCs w:val="13"/>
                <w:color w:val="auto"/>
              </w:rPr>
              <w:t>180,000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180,000</w:t>
            </w:r>
          </w:p>
        </w:tc>
        <w:tc>
          <w:tcPr>
            <w:tcW w:w="82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91"/>
              </w:rPr>
              <w:t>—</w:t>
            </w:r>
          </w:p>
        </w:tc>
        <w:tc>
          <w:tcPr>
            <w:tcW w:w="560" w:type="dxa"/>
            <w:vAlign w:val="bottom"/>
          </w:tcPr>
          <w:p>
            <w:pPr>
              <w:jc w:val="right"/>
              <w:ind w:right="116"/>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55"/>
              <w:spacing w:after="0" w:line="135" w:lineRule="exact"/>
              <w:rPr>
                <w:sz w:val="20"/>
                <w:szCs w:val="20"/>
                <w:color w:val="auto"/>
              </w:rPr>
            </w:pPr>
            <w:r>
              <w:rPr>
                <w:rFonts w:ascii="Arial" w:cs="Arial" w:eastAsia="Arial" w:hAnsi="Arial"/>
                <w:sz w:val="13"/>
                <w:szCs w:val="13"/>
                <w:color w:val="auto"/>
              </w:rPr>
              <w:t>—</w:t>
            </w:r>
          </w:p>
        </w:tc>
      </w:tr>
      <w:tr>
        <w:trPr>
          <w:trHeight w:val="135"/>
        </w:trPr>
        <w:tc>
          <w:tcPr>
            <w:tcW w:w="1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Time-based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220" w:type="dxa"/>
            <w:vAlign w:val="bottom"/>
          </w:tcPr>
          <w:p>
            <w:pPr>
              <w:spacing w:after="0"/>
              <w:rPr>
                <w:sz w:val="11"/>
                <w:szCs w:val="11"/>
                <w:color w:val="auto"/>
              </w:rPr>
            </w:pPr>
          </w:p>
        </w:tc>
        <w:tc>
          <w:tcPr>
            <w:tcW w:w="1780" w:type="dxa"/>
            <w:vAlign w:val="bottom"/>
          </w:tcPr>
          <w:p>
            <w:pPr>
              <w:jc w:val="right"/>
              <w:spacing w:after="0" w:line="135" w:lineRule="exact"/>
              <w:rPr>
                <w:sz w:val="20"/>
                <w:szCs w:val="20"/>
                <w:color w:val="auto"/>
              </w:rPr>
            </w:pPr>
            <w:r>
              <w:rPr>
                <w:rFonts w:ascii="Arial" w:cs="Arial" w:eastAsia="Arial" w:hAnsi="Arial"/>
                <w:sz w:val="13"/>
                <w:szCs w:val="13"/>
                <w:color w:val="auto"/>
              </w:rPr>
              <w:t>10/27/22</w:t>
            </w:r>
          </w:p>
        </w:tc>
        <w:tc>
          <w:tcPr>
            <w:tcW w:w="800" w:type="dxa"/>
            <w:vAlign w:val="bottom"/>
          </w:tcPr>
          <w:p>
            <w:pPr>
              <w:jc w:val="right"/>
              <w:ind w:right="36"/>
              <w:spacing w:after="0" w:line="135" w:lineRule="exact"/>
              <w:rPr>
                <w:sz w:val="20"/>
                <w:szCs w:val="20"/>
                <w:color w:val="auto"/>
              </w:rPr>
            </w:pPr>
            <w:r>
              <w:rPr>
                <w:rFonts w:ascii="Arial" w:cs="Arial" w:eastAsia="Arial" w:hAnsi="Arial"/>
                <w:sz w:val="13"/>
                <w:szCs w:val="13"/>
                <w:color w:val="auto"/>
              </w:rPr>
              <w:t>10/27/22</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RSUs</w:t>
            </w:r>
          </w:p>
        </w:tc>
        <w:tc>
          <w:tcPr>
            <w:tcW w:w="780" w:type="dxa"/>
            <w:vAlign w:val="bottom"/>
          </w:tcPr>
          <w:p>
            <w:pPr>
              <w:jc w:val="right"/>
              <w:ind w:right="35"/>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91"/>
              </w:rPr>
              <w:t>—</w:t>
            </w:r>
          </w:p>
        </w:tc>
        <w:tc>
          <w:tcPr>
            <w:tcW w:w="560" w:type="dxa"/>
            <w:vAlign w:val="bottom"/>
          </w:tcPr>
          <w:p>
            <w:pPr>
              <w:jc w:val="right"/>
              <w:ind w:right="116"/>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ind w:left="420"/>
              <w:spacing w:after="0" w:line="135" w:lineRule="exact"/>
              <w:rPr>
                <w:sz w:val="20"/>
                <w:szCs w:val="20"/>
                <w:color w:val="auto"/>
              </w:rPr>
            </w:pPr>
            <w:r>
              <w:rPr>
                <w:rFonts w:ascii="Arial" w:cs="Arial" w:eastAsia="Arial" w:hAnsi="Arial"/>
                <w:sz w:val="13"/>
                <w:szCs w:val="13"/>
                <w:color w:val="auto"/>
              </w:rPr>
              <w:t>15,692</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2,202,843</w:t>
            </w:r>
          </w:p>
        </w:tc>
      </w:tr>
      <w:tr>
        <w:trPr>
          <w:trHeight w:val="135"/>
        </w:trPr>
        <w:tc>
          <w:tcPr>
            <w:tcW w:w="1220" w:type="dxa"/>
            <w:vAlign w:val="bottom"/>
          </w:tcPr>
          <w:p>
            <w:pPr>
              <w:spacing w:after="0"/>
              <w:rPr>
                <w:sz w:val="11"/>
                <w:szCs w:val="11"/>
                <w:color w:val="auto"/>
              </w:rPr>
            </w:pPr>
          </w:p>
        </w:tc>
        <w:tc>
          <w:tcPr>
            <w:tcW w:w="1780" w:type="dxa"/>
            <w:vAlign w:val="bottom"/>
          </w:tcPr>
          <w:p>
            <w:pPr>
              <w:jc w:val="right"/>
              <w:spacing w:after="0" w:line="135" w:lineRule="exact"/>
              <w:rPr>
                <w:sz w:val="20"/>
                <w:szCs w:val="20"/>
                <w:color w:val="auto"/>
              </w:rPr>
            </w:pPr>
            <w:r>
              <w:rPr>
                <w:rFonts w:ascii="Arial" w:cs="Arial" w:eastAsia="Arial" w:hAnsi="Arial"/>
                <w:sz w:val="13"/>
                <w:szCs w:val="13"/>
                <w:color w:val="auto"/>
              </w:rPr>
              <w:t>10/27/22</w:t>
            </w:r>
          </w:p>
        </w:tc>
        <w:tc>
          <w:tcPr>
            <w:tcW w:w="800" w:type="dxa"/>
            <w:vAlign w:val="bottom"/>
          </w:tcPr>
          <w:p>
            <w:pPr>
              <w:jc w:val="right"/>
              <w:ind w:right="36"/>
              <w:spacing w:after="0" w:line="135" w:lineRule="exact"/>
              <w:rPr>
                <w:sz w:val="20"/>
                <w:szCs w:val="20"/>
                <w:color w:val="auto"/>
              </w:rPr>
            </w:pPr>
            <w:r>
              <w:rPr>
                <w:rFonts w:ascii="Arial" w:cs="Arial" w:eastAsia="Arial" w:hAnsi="Arial"/>
                <w:sz w:val="13"/>
                <w:szCs w:val="13"/>
                <w:color w:val="auto"/>
              </w:rPr>
              <w:t>10/28/21</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PRSUs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ind w:left="200"/>
              <w:spacing w:after="0" w:line="135" w:lineRule="exact"/>
              <w:rPr>
                <w:sz w:val="20"/>
                <w:szCs w:val="20"/>
                <w:color w:val="auto"/>
              </w:rPr>
            </w:pPr>
            <w:r>
              <w:rPr>
                <w:rFonts w:ascii="Arial" w:cs="Arial" w:eastAsia="Arial" w:hAnsi="Arial"/>
                <w:sz w:val="11"/>
                <w:szCs w:val="11"/>
                <w:color w:val="auto"/>
              </w:rPr>
              <w:t>2,968</w:t>
            </w:r>
            <w:r>
              <w:rPr>
                <w:rFonts w:ascii="Arial" w:cs="Arial" w:eastAsia="Arial" w:hAnsi="Arial"/>
                <w:sz w:val="15"/>
                <w:szCs w:val="15"/>
                <w:color w:val="auto"/>
                <w:vertAlign w:val="superscript"/>
              </w:rPr>
              <w:t>(5)</w:t>
            </w:r>
          </w:p>
        </w:tc>
        <w:tc>
          <w:tcPr>
            <w:tcW w:w="560" w:type="dxa"/>
            <w:vAlign w:val="bottom"/>
          </w:tcPr>
          <w:p>
            <w:pPr>
              <w:jc w:val="right"/>
              <w:ind w:right="36"/>
              <w:spacing w:after="0" w:line="135" w:lineRule="exact"/>
              <w:rPr>
                <w:sz w:val="20"/>
                <w:szCs w:val="20"/>
                <w:color w:val="auto"/>
              </w:rPr>
            </w:pPr>
            <w:r>
              <w:rPr>
                <w:rFonts w:ascii="Arial" w:cs="Arial" w:eastAsia="Arial" w:hAnsi="Arial"/>
                <w:sz w:val="13"/>
                <w:szCs w:val="13"/>
                <w:color w:val="auto"/>
              </w:rPr>
              <w:t>5,936</w:t>
            </w:r>
          </w:p>
        </w:tc>
        <w:tc>
          <w:tcPr>
            <w:tcW w:w="8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416,648</w:t>
            </w:r>
          </w:p>
        </w:tc>
      </w:tr>
      <w:tr>
        <w:trPr>
          <w:trHeight w:val="214"/>
        </w:trPr>
        <w:tc>
          <w:tcPr>
            <w:tcW w:w="1220" w:type="dxa"/>
            <w:vAlign w:val="bottom"/>
            <w:tcBorders>
              <w:bottom w:val="single" w:sz="8" w:color="FF0C07"/>
            </w:tcBorders>
          </w:tcPr>
          <w:p>
            <w:pPr>
              <w:spacing w:after="0"/>
              <w:rPr>
                <w:sz w:val="18"/>
                <w:szCs w:val="18"/>
                <w:color w:val="auto"/>
              </w:rPr>
            </w:pPr>
          </w:p>
        </w:tc>
        <w:tc>
          <w:tcPr>
            <w:tcW w:w="1780" w:type="dxa"/>
            <w:vAlign w:val="bottom"/>
            <w:tcBorders>
              <w:bottom w:val="single" w:sz="8" w:color="FF0C07"/>
            </w:tcBorders>
          </w:tcPr>
          <w:p>
            <w:pPr>
              <w:jc w:val="right"/>
              <w:spacing w:after="0"/>
              <w:rPr>
                <w:sz w:val="20"/>
                <w:szCs w:val="20"/>
                <w:color w:val="auto"/>
              </w:rPr>
            </w:pPr>
            <w:r>
              <w:rPr>
                <w:rFonts w:ascii="Arial" w:cs="Arial" w:eastAsia="Arial" w:hAnsi="Arial"/>
                <w:sz w:val="13"/>
                <w:szCs w:val="13"/>
                <w:color w:val="auto"/>
              </w:rPr>
              <w:t>10/127/22</w:t>
            </w:r>
          </w:p>
        </w:tc>
        <w:tc>
          <w:tcPr>
            <w:tcW w:w="800" w:type="dxa"/>
            <w:vAlign w:val="bottom"/>
            <w:tcBorders>
              <w:bottom w:val="single" w:sz="8" w:color="FF0C07"/>
            </w:tcBorders>
          </w:tcPr>
          <w:p>
            <w:pPr>
              <w:jc w:val="right"/>
              <w:ind w:right="36"/>
              <w:spacing w:after="0"/>
              <w:rPr>
                <w:sz w:val="20"/>
                <w:szCs w:val="20"/>
                <w:color w:val="auto"/>
              </w:rPr>
            </w:pPr>
            <w:r>
              <w:rPr>
                <w:rFonts w:ascii="Arial" w:cs="Arial" w:eastAsia="Arial" w:hAnsi="Arial"/>
                <w:sz w:val="13"/>
                <w:szCs w:val="13"/>
                <w:color w:val="auto"/>
              </w:rPr>
              <w:t>10/27/22</w:t>
            </w:r>
          </w:p>
        </w:tc>
        <w:tc>
          <w:tcPr>
            <w:tcW w:w="780" w:type="dxa"/>
            <w:vAlign w:val="bottom"/>
            <w:tcBorders>
              <w:bottom w:val="single" w:sz="8" w:color="FF0C07"/>
            </w:tcBorders>
          </w:tcPr>
          <w:p>
            <w:pPr>
              <w:jc w:val="right"/>
              <w:spacing w:after="0"/>
              <w:rPr>
                <w:sz w:val="20"/>
                <w:szCs w:val="20"/>
                <w:color w:val="auto"/>
              </w:rPr>
            </w:pPr>
            <w:r>
              <w:rPr>
                <w:rFonts w:ascii="Arial" w:cs="Arial" w:eastAsia="Arial" w:hAnsi="Arial"/>
                <w:sz w:val="13"/>
                <w:szCs w:val="13"/>
                <w:color w:val="auto"/>
              </w:rPr>
              <w:t>PRSUs</w:t>
            </w:r>
          </w:p>
        </w:tc>
        <w:tc>
          <w:tcPr>
            <w:tcW w:w="780" w:type="dxa"/>
            <w:vAlign w:val="bottom"/>
            <w:tcBorders>
              <w:bottom w:val="single" w:sz="8" w:color="FF0C07"/>
            </w:tcBorders>
          </w:tcPr>
          <w:p>
            <w:pPr>
              <w:jc w:val="right"/>
              <w:ind w:right="35"/>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FF0C07"/>
            </w:tcBorders>
          </w:tcPr>
          <w:p>
            <w:pPr>
              <w:ind w:left="40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FF0C07"/>
            </w:tcBorders>
          </w:tcPr>
          <w:p>
            <w:pPr>
              <w:ind w:left="5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FF0C07"/>
            </w:tcBorders>
          </w:tcPr>
          <w:p>
            <w:pPr>
              <w:ind w:left="5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F0C07"/>
            </w:tcBorders>
          </w:tcPr>
          <w:p>
            <w:pPr>
              <w:ind w:left="200"/>
              <w:spacing w:after="0"/>
              <w:rPr>
                <w:sz w:val="20"/>
                <w:szCs w:val="20"/>
                <w:color w:val="auto"/>
              </w:rPr>
            </w:pPr>
            <w:r>
              <w:rPr>
                <w:rFonts w:ascii="Arial" w:cs="Arial" w:eastAsia="Arial" w:hAnsi="Arial"/>
                <w:sz w:val="13"/>
                <w:szCs w:val="13"/>
                <w:color w:val="auto"/>
              </w:rPr>
              <w:t>2,242</w:t>
            </w:r>
            <w:r>
              <w:rPr>
                <w:rFonts w:ascii="Arial" w:cs="Arial" w:eastAsia="Arial" w:hAnsi="Arial"/>
                <w:sz w:val="18"/>
                <w:szCs w:val="18"/>
                <w:color w:val="auto"/>
                <w:vertAlign w:val="superscript"/>
              </w:rPr>
              <w:t>(5)</w:t>
            </w:r>
          </w:p>
        </w:tc>
        <w:tc>
          <w:tcPr>
            <w:tcW w:w="560" w:type="dxa"/>
            <w:vAlign w:val="bottom"/>
            <w:tcBorders>
              <w:bottom w:val="single" w:sz="8" w:color="FF0C07"/>
            </w:tcBorders>
          </w:tcPr>
          <w:p>
            <w:pPr>
              <w:jc w:val="right"/>
              <w:ind w:right="36"/>
              <w:spacing w:after="0"/>
              <w:rPr>
                <w:sz w:val="20"/>
                <w:szCs w:val="20"/>
                <w:color w:val="auto"/>
              </w:rPr>
            </w:pPr>
            <w:r>
              <w:rPr>
                <w:rFonts w:ascii="Arial" w:cs="Arial" w:eastAsia="Arial" w:hAnsi="Arial"/>
                <w:sz w:val="13"/>
                <w:szCs w:val="13"/>
                <w:color w:val="auto"/>
              </w:rPr>
              <w:t>4,484</w:t>
            </w:r>
          </w:p>
        </w:tc>
        <w:tc>
          <w:tcPr>
            <w:tcW w:w="880" w:type="dxa"/>
            <w:vAlign w:val="bottom"/>
            <w:tcBorders>
              <w:bottom w:val="single" w:sz="8" w:color="FF0C07"/>
            </w:tcBorders>
          </w:tcPr>
          <w:p>
            <w:pPr>
              <w:ind w:left="6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F0C07"/>
            </w:tcBorders>
          </w:tcPr>
          <w:p>
            <w:pPr>
              <w:jc w:val="right"/>
              <w:spacing w:after="0"/>
              <w:rPr>
                <w:sz w:val="20"/>
                <w:szCs w:val="20"/>
                <w:color w:val="auto"/>
              </w:rPr>
            </w:pPr>
            <w:r>
              <w:rPr>
                <w:rFonts w:ascii="Arial" w:cs="Arial" w:eastAsia="Arial" w:hAnsi="Arial"/>
                <w:sz w:val="13"/>
                <w:szCs w:val="13"/>
                <w:color w:val="auto"/>
              </w:rPr>
              <w:t>314,732</w:t>
            </w:r>
          </w:p>
        </w:tc>
      </w:tr>
      <w:tr>
        <w:trPr>
          <w:trHeight w:val="148"/>
        </w:trPr>
        <w:tc>
          <w:tcPr>
            <w:tcW w:w="1220" w:type="dxa"/>
            <w:vAlign w:val="bottom"/>
            <w:tcBorders>
              <w:bottom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r>
    </w:tbl>
    <w:p>
      <w:pPr>
        <w:spacing w:after="0" w:line="13"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Time-based RSUs and PRSUs were granted under our 2012 Equity Incentive Plan.</w:t>
      </w:r>
    </w:p>
    <w:p>
      <w:pPr>
        <w:spacing w:after="0" w:line="126" w:lineRule="exact"/>
        <w:rPr>
          <w:rFonts w:ascii="Arial" w:cs="Arial" w:eastAsia="Arial" w:hAnsi="Arial"/>
          <w:sz w:val="16"/>
          <w:szCs w:val="16"/>
          <w:color w:val="auto"/>
        </w:rPr>
      </w:pPr>
    </w:p>
    <w:p>
      <w:pPr>
        <w:ind w:left="424" w:right="80" w:hanging="424"/>
        <w:spacing w:after="0" w:line="266" w:lineRule="auto"/>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our named executive officers other than Mr. Peters, the amounts reported represent cash incentive compensation opportunities under our 2022 Corporate Bonus Plan. For Mr. Peters, the amount reported represents the cash incentive compensation opportunity under his individualized 2022 sales incentive compensation plan.</w:t>
      </w:r>
    </w:p>
    <w:p>
      <w:pPr>
        <w:spacing w:after="0" w:line="76" w:lineRule="exact"/>
        <w:rPr>
          <w:rFonts w:ascii="Arial" w:cs="Arial" w:eastAsia="Arial" w:hAnsi="Arial"/>
          <w:sz w:val="16"/>
          <w:szCs w:val="16"/>
          <w:color w:val="auto"/>
        </w:rPr>
      </w:pPr>
    </w:p>
    <w:p>
      <w:pPr>
        <w:ind w:left="424" w:right="60" w:hanging="424"/>
        <w:spacing w:after="0" w:line="254" w:lineRule="auto"/>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Amounts reported in this column represent the grant date fair value of stock awards, calculated in accordance with FASB ASC Topic 718. The fair value of each RSU award is measured based on the closing price of our common stock on the date of grant, excluding the impact of estimated forfeitures related to service-based vesting conditions. The fair value of each PRSU award is based upon the probable outcome of the performance conditions, consistent with the estimate of aggregate compensation cost to be recognized over the service period determined as of the grant date under FASB ASC Topic 718, excluding the effect of estimated forfeitures. Pursuant to FASB ASC Topic 718, the accounting grant date for each PRSU award is the date the performance metrics are approved by the Compensation and Talent Committee and communicated to the employee.</w:t>
      </w:r>
    </w:p>
    <w:p>
      <w:pPr>
        <w:spacing w:after="0" w:line="87" w:lineRule="exact"/>
        <w:rPr>
          <w:rFonts w:ascii="Arial" w:cs="Arial" w:eastAsia="Arial" w:hAnsi="Arial"/>
          <w:sz w:val="16"/>
          <w:szCs w:val="16"/>
          <w:color w:val="auto"/>
        </w:rPr>
      </w:pPr>
    </w:p>
    <w:p>
      <w:pPr>
        <w:ind w:left="424" w:right="460" w:hanging="424"/>
        <w:spacing w:after="0" w:line="266" w:lineRule="auto"/>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payout under our 2022 Corporate Bonus Plan based on the minimum amounts payable for certain levels of performance for all three performance measures. Payout could be zero if performance is below minimum levels for all three measures.</w:t>
      </w:r>
    </w:p>
    <w:p>
      <w:pPr>
        <w:spacing w:after="0" w:line="76" w:lineRule="exact"/>
        <w:rPr>
          <w:rFonts w:ascii="Arial" w:cs="Arial" w:eastAsia="Arial" w:hAnsi="Arial"/>
          <w:sz w:val="16"/>
          <w:szCs w:val="16"/>
          <w:color w:val="auto"/>
        </w:rPr>
      </w:pPr>
    </w:p>
    <w:p>
      <w:pPr>
        <w:ind w:left="424" w:right="80" w:hanging="424"/>
        <w:spacing w:after="0" w:line="254" w:lineRule="auto"/>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number of shares subject to this PRSU award represents the first of three tranches of a multi-year PRSU award with one-year performance periods covering the calendar years 2023, 2024, and 2025, respectively which were approved by the Compensation and Talent Committee in October 2022, and the second of three tranches of a multi-year PRSU award with one-year performance period covering the calendar years 2022, 2023 and 2024 which were approved by the Compensation and Talen Committee in October 2021. Subject to continued service, up to 200% of the target number of PRSUs covered by each tranche will become eligible to vest based on the annual growth rate of the Company’s revenues and the Company’s adjusted EBITDA margin for the applicable performance period, except that vesting and release of the earned PRSUs is capped</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4"/>
          </w:cols>
          <w:pgMar w:left="436" w:top="296" w:right="439" w:bottom="1440" w:gutter="0" w:footer="0" w:header="0"/>
        </w:sectPr>
      </w:pPr>
    </w:p>
    <w:bookmarkStart w:id="54" w:name="page55"/>
    <w:bookmarkEnd w:id="54"/>
    <w:p>
      <w:pPr>
        <w:ind w:left="424" w:right="60"/>
        <w:spacing w:after="0" w:line="25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at 100% of target performance in each of the first two performance periods, with cumulative achievement over 100% to be vested and released at the end of the third performance period. Because the performance metrics for the third tranche of the PRSU grant awards granted to our named executive officers in October 2021 and the second and third tranches of the PRSU awards granted to our named executive officers in October 2022 have not been established, such tranches are not yet considered granted under FASB ASC Topic 718. As a result, there is no reportable grant date fair value under FASB ASC Topic 718 for such tranches, and they are not included in this table. Accordingly, the reported grant date fair value of this PRSU award differs from the award value approved by our Compensation and Talent Committee.</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Outstanding Equity Awards at 2022 Year-End Table</w:t>
      </w:r>
    </w:p>
    <w:p>
      <w:pPr>
        <w:spacing w:after="0" w:line="10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presents information regarding stock options held by our named executive officers as of December 31, 2022.</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41"/>
        </w:trPr>
        <w:tc>
          <w:tcPr>
            <w:tcW w:w="4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1"/>
                <w:szCs w:val="21"/>
                <w:b w:val="1"/>
                <w:bCs w:val="1"/>
                <w:color w:val="auto"/>
                <w:vertAlign w:val="superscript"/>
              </w:rPr>
              <w:t>(1)</w:t>
            </w:r>
          </w:p>
        </w:tc>
        <w:tc>
          <w:tcPr>
            <w:tcW w:w="6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493"/>
              <w:spacing w:after="0" w:line="147" w:lineRule="exact"/>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9"/>
              </w:rPr>
              <w:t>Number of</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center"/>
              <w:ind w:right="493"/>
              <w:spacing w:after="0"/>
              <w:rPr>
                <w:sz w:val="20"/>
                <w:szCs w:val="20"/>
                <w:color w:val="auto"/>
              </w:rPr>
            </w:pPr>
            <w:r>
              <w:rPr>
                <w:rFonts w:ascii="Arial" w:cs="Arial" w:eastAsia="Arial" w:hAnsi="Arial"/>
                <w:sz w:val="14"/>
                <w:szCs w:val="14"/>
                <w:b w:val="1"/>
                <w:bCs w:val="1"/>
                <w:color w:val="auto"/>
              </w:rPr>
              <w:t>Securities</w:t>
            </w: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center"/>
              <w:ind w:right="493"/>
              <w:spacing w:after="0"/>
              <w:rPr>
                <w:sz w:val="20"/>
                <w:szCs w:val="20"/>
                <w:color w:val="auto"/>
              </w:rPr>
            </w:pPr>
            <w:r>
              <w:rPr>
                <w:rFonts w:ascii="Arial" w:cs="Arial" w:eastAsia="Arial" w:hAnsi="Arial"/>
                <w:sz w:val="14"/>
                <w:szCs w:val="14"/>
                <w:b w:val="1"/>
                <w:bCs w:val="1"/>
                <w:color w:val="auto"/>
              </w:rPr>
              <w:t>Underlying</w:t>
            </w: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Underlying</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Vesting</w:t>
            </w:r>
          </w:p>
        </w:tc>
        <w:tc>
          <w:tcPr>
            <w:tcW w:w="1400" w:type="dxa"/>
            <w:vAlign w:val="bottom"/>
            <w:gridSpan w:val="2"/>
          </w:tcPr>
          <w:p>
            <w:pPr>
              <w:jc w:val="center"/>
              <w:ind w:right="473"/>
              <w:spacing w:after="0"/>
              <w:rPr>
                <w:sz w:val="20"/>
                <w:szCs w:val="20"/>
                <w:color w:val="auto"/>
              </w:rPr>
            </w:pPr>
            <w:r>
              <w:rPr>
                <w:rFonts w:ascii="Arial" w:cs="Arial" w:eastAsia="Arial" w:hAnsi="Arial"/>
                <w:sz w:val="14"/>
                <w:szCs w:val="14"/>
                <w:b w:val="1"/>
                <w:bCs w:val="1"/>
                <w:color w:val="auto"/>
              </w:rPr>
              <w:t>Unexercised</w:t>
            </w: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Unexercised</w:t>
            </w: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68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Commencement</w:t>
            </w:r>
          </w:p>
        </w:tc>
        <w:tc>
          <w:tcPr>
            <w:tcW w:w="1400" w:type="dxa"/>
            <w:vAlign w:val="bottom"/>
            <w:gridSpan w:val="2"/>
          </w:tcPr>
          <w:p>
            <w:pPr>
              <w:jc w:val="center"/>
              <w:ind w:right="493"/>
              <w:spacing w:after="0"/>
              <w:rPr>
                <w:sz w:val="20"/>
                <w:szCs w:val="20"/>
                <w:color w:val="auto"/>
              </w:rPr>
            </w:pPr>
            <w:r>
              <w:rPr>
                <w:rFonts w:ascii="Arial" w:cs="Arial" w:eastAsia="Arial" w:hAnsi="Arial"/>
                <w:sz w:val="14"/>
                <w:szCs w:val="14"/>
                <w:b w:val="1"/>
                <w:bCs w:val="1"/>
                <w:color w:val="auto"/>
              </w:rPr>
              <w:t>Options (#)</w:t>
            </w: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Options (#)</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Exercise</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8"/>
        </w:trPr>
        <w:tc>
          <w:tcPr>
            <w:tcW w:w="40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Grant Date</w:t>
            </w:r>
          </w:p>
        </w:tc>
        <w:tc>
          <w:tcPr>
            <w:tcW w:w="15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Date</w:t>
            </w:r>
          </w:p>
        </w:tc>
        <w:tc>
          <w:tcPr>
            <w:tcW w:w="1400" w:type="dxa"/>
            <w:vAlign w:val="bottom"/>
            <w:gridSpan w:val="2"/>
          </w:tcPr>
          <w:p>
            <w:pPr>
              <w:jc w:val="center"/>
              <w:ind w:right="493"/>
              <w:spacing w:after="0" w:line="158" w:lineRule="exact"/>
              <w:rPr>
                <w:sz w:val="20"/>
                <w:szCs w:val="20"/>
                <w:color w:val="auto"/>
              </w:rPr>
            </w:pPr>
            <w:r>
              <w:rPr>
                <w:rFonts w:ascii="Arial" w:cs="Arial" w:eastAsia="Arial" w:hAnsi="Arial"/>
                <w:sz w:val="14"/>
                <w:szCs w:val="14"/>
                <w:b w:val="1"/>
                <w:bCs w:val="1"/>
                <w:color w:val="auto"/>
              </w:rPr>
              <w:t>Exercisable</w:t>
            </w: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Unexercisable</w:t>
            </w:r>
          </w:p>
        </w:tc>
        <w:tc>
          <w:tcPr>
            <w:tcW w:w="9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71"/>
        </w:trPr>
        <w:tc>
          <w:tcPr>
            <w:tcW w:w="3080" w:type="dxa"/>
            <w:vAlign w:val="bottom"/>
            <w:tcBorders>
              <w:top w:val="single" w:sz="8" w:color="E5E5E5"/>
            </w:tcBorders>
            <w:gridSpan w:val="2"/>
            <w:shd w:val="clear" w:color="auto" w:fill="E5E5E5"/>
          </w:tcPr>
          <w:p>
            <w:pPr>
              <w:spacing w:after="0" w:line="170" w:lineRule="exact"/>
              <w:rPr>
                <w:sz w:val="20"/>
                <w:szCs w:val="20"/>
                <w:color w:val="auto"/>
              </w:rPr>
            </w:pPr>
            <w:r>
              <w:rPr>
                <w:rFonts w:ascii="Arial" w:cs="Arial" w:eastAsia="Arial" w:hAnsi="Arial"/>
                <w:sz w:val="18"/>
                <w:szCs w:val="18"/>
                <w:color w:val="auto"/>
              </w:rPr>
              <w:t>Sumedh S. Thakar</w:t>
            </w:r>
          </w:p>
        </w:tc>
        <w:tc>
          <w:tcPr>
            <w:tcW w:w="320" w:type="dxa"/>
            <w:vAlign w:val="bottom"/>
            <w:tcBorders>
              <w:top w:val="single" w:sz="8" w:color="E5E5E5"/>
            </w:tcBorders>
            <w:shd w:val="clear" w:color="auto" w:fill="E5E5E5"/>
          </w:tcPr>
          <w:p>
            <w:pPr>
              <w:spacing w:after="0"/>
              <w:rPr>
                <w:sz w:val="14"/>
                <w:szCs w:val="14"/>
                <w:color w:val="auto"/>
              </w:rPr>
            </w:pPr>
          </w:p>
        </w:tc>
        <w:tc>
          <w:tcPr>
            <w:tcW w:w="96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4/28/2016</w:t>
            </w:r>
          </w:p>
        </w:tc>
        <w:tc>
          <w:tcPr>
            <w:tcW w:w="380" w:type="dxa"/>
            <w:vAlign w:val="bottom"/>
            <w:tcBorders>
              <w:top w:val="single" w:sz="8" w:color="E5E5E5"/>
            </w:tcBorders>
            <w:shd w:val="clear" w:color="auto" w:fill="E5E5E5"/>
          </w:tcPr>
          <w:p>
            <w:pPr>
              <w:spacing w:after="0"/>
              <w:rPr>
                <w:sz w:val="14"/>
                <w:szCs w:val="14"/>
                <w:color w:val="auto"/>
              </w:rPr>
            </w:pPr>
          </w:p>
        </w:tc>
        <w:tc>
          <w:tcPr>
            <w:tcW w:w="112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4/28/2016</w:t>
            </w:r>
          </w:p>
        </w:tc>
        <w:tc>
          <w:tcPr>
            <w:tcW w:w="380" w:type="dxa"/>
            <w:vAlign w:val="bottom"/>
            <w:tcBorders>
              <w:top w:val="single" w:sz="8" w:color="E5E5E5"/>
            </w:tcBorders>
            <w:shd w:val="clear" w:color="auto" w:fill="E5E5E5"/>
          </w:tcPr>
          <w:p>
            <w:pPr>
              <w:spacing w:after="0"/>
              <w:rPr>
                <w:sz w:val="14"/>
                <w:szCs w:val="14"/>
                <w:color w:val="auto"/>
              </w:rPr>
            </w:pPr>
          </w:p>
        </w:tc>
        <w:tc>
          <w:tcPr>
            <w:tcW w:w="86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136,000</w:t>
            </w:r>
          </w:p>
        </w:tc>
        <w:tc>
          <w:tcPr>
            <w:tcW w:w="540" w:type="dxa"/>
            <w:vAlign w:val="bottom"/>
            <w:tcBorders>
              <w:top w:val="single" w:sz="8" w:color="E5E5E5"/>
            </w:tcBorders>
            <w:shd w:val="clear" w:color="auto" w:fill="E5E5E5"/>
          </w:tcPr>
          <w:p>
            <w:pPr>
              <w:jc w:val="right"/>
              <w:ind w:right="313"/>
              <w:spacing w:after="0"/>
              <w:rPr>
                <w:sz w:val="20"/>
                <w:szCs w:val="20"/>
                <w:color w:val="auto"/>
              </w:rPr>
            </w:pPr>
            <w:r>
              <w:rPr>
                <w:rFonts w:ascii="Arial" w:cs="Arial" w:eastAsia="Arial" w:hAnsi="Arial"/>
                <w:sz w:val="13"/>
                <w:szCs w:val="13"/>
                <w:color w:val="auto"/>
                <w:w w:val="87"/>
              </w:rPr>
              <w:t>(2)</w:t>
            </w:r>
          </w:p>
        </w:tc>
        <w:tc>
          <w:tcPr>
            <w:tcW w:w="980" w:type="dxa"/>
            <w:vAlign w:val="bottom"/>
            <w:tcBorders>
              <w:top w:val="single" w:sz="8" w:color="auto"/>
            </w:tcBorders>
            <w:shd w:val="clear" w:color="auto" w:fill="E5E5E5"/>
          </w:tcPr>
          <w:p>
            <w:pPr>
              <w:ind w:left="700"/>
              <w:spacing w:after="0" w:line="170"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E5E5E5"/>
            </w:tcBorders>
            <w:shd w:val="clear" w:color="auto" w:fill="E5E5E5"/>
          </w:tcPr>
          <w:p>
            <w:pPr>
              <w:spacing w:after="0"/>
              <w:rPr>
                <w:sz w:val="14"/>
                <w:szCs w:val="14"/>
                <w:color w:val="auto"/>
              </w:rPr>
            </w:pPr>
          </w:p>
        </w:tc>
        <w:tc>
          <w:tcPr>
            <w:tcW w:w="60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25.56</w:t>
            </w:r>
          </w:p>
        </w:tc>
        <w:tc>
          <w:tcPr>
            <w:tcW w:w="380" w:type="dxa"/>
            <w:vAlign w:val="bottom"/>
            <w:tcBorders>
              <w:top w:val="single" w:sz="8" w:color="E5E5E5"/>
            </w:tcBorders>
            <w:shd w:val="clear" w:color="auto" w:fill="E5E5E5"/>
          </w:tcPr>
          <w:p>
            <w:pPr>
              <w:spacing w:after="0"/>
              <w:rPr>
                <w:sz w:val="14"/>
                <w:szCs w:val="14"/>
                <w:color w:val="auto"/>
              </w:rPr>
            </w:pPr>
          </w:p>
        </w:tc>
        <w:tc>
          <w:tcPr>
            <w:tcW w:w="96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4/27/2026</w:t>
            </w:r>
          </w:p>
        </w:tc>
        <w:tc>
          <w:tcPr>
            <w:tcW w:w="80" w:type="dxa"/>
            <w:vAlign w:val="bottom"/>
            <w:tcBorders>
              <w:top w:val="single" w:sz="8" w:color="E5E5E5"/>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26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3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7/30/2015</w:t>
            </w:r>
          </w:p>
        </w:tc>
        <w:tc>
          <w:tcPr>
            <w:tcW w:w="150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7/30/2015</w:t>
            </w:r>
          </w:p>
        </w:tc>
        <w:tc>
          <w:tcPr>
            <w:tcW w:w="1400" w:type="dxa"/>
            <w:vAlign w:val="bottom"/>
            <w:gridSpan w:val="2"/>
            <w:shd w:val="clear" w:color="auto" w:fill="E5E5E5"/>
          </w:tcPr>
          <w:p>
            <w:pPr>
              <w:jc w:val="right"/>
              <w:ind w:right="313"/>
              <w:spacing w:after="0" w:line="202" w:lineRule="exact"/>
              <w:rPr>
                <w:sz w:val="20"/>
                <w:szCs w:val="20"/>
                <w:color w:val="auto"/>
              </w:rPr>
            </w:pPr>
            <w:r>
              <w:rPr>
                <w:rFonts w:ascii="Arial" w:cs="Arial" w:eastAsia="Arial" w:hAnsi="Arial"/>
                <w:sz w:val="16"/>
                <w:szCs w:val="16"/>
                <w:color w:val="auto"/>
              </w:rPr>
              <w:t>50,000</w:t>
            </w:r>
            <w:r>
              <w:rPr>
                <w:rFonts w:ascii="Arial" w:cs="Arial" w:eastAsia="Arial" w:hAnsi="Arial"/>
                <w:sz w:val="23"/>
                <w:szCs w:val="23"/>
                <w:color w:val="auto"/>
                <w:vertAlign w:val="superscript"/>
              </w:rPr>
              <w:t>(2)</w:t>
            </w:r>
          </w:p>
        </w:tc>
        <w:tc>
          <w:tcPr>
            <w:tcW w:w="1360" w:type="dxa"/>
            <w:vAlign w:val="bottom"/>
            <w:gridSpan w:val="2"/>
            <w:shd w:val="clear" w:color="auto" w:fill="E5E5E5"/>
          </w:tcPr>
          <w:p>
            <w:pPr>
              <w:ind w:left="7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37.28</w:t>
            </w:r>
          </w:p>
        </w:tc>
        <w:tc>
          <w:tcPr>
            <w:tcW w:w="10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7/29/2025</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26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3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10/30/2014</w:t>
            </w:r>
          </w:p>
        </w:tc>
        <w:tc>
          <w:tcPr>
            <w:tcW w:w="150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10/30/2014</w:t>
            </w:r>
          </w:p>
        </w:tc>
        <w:tc>
          <w:tcPr>
            <w:tcW w:w="1400" w:type="dxa"/>
            <w:vAlign w:val="bottom"/>
            <w:gridSpan w:val="2"/>
            <w:shd w:val="clear" w:color="auto" w:fill="E5E5E5"/>
          </w:tcPr>
          <w:p>
            <w:pPr>
              <w:jc w:val="right"/>
              <w:ind w:right="313"/>
              <w:spacing w:after="0" w:line="202" w:lineRule="exact"/>
              <w:rPr>
                <w:sz w:val="20"/>
                <w:szCs w:val="20"/>
                <w:color w:val="auto"/>
              </w:rPr>
            </w:pPr>
            <w:r>
              <w:rPr>
                <w:rFonts w:ascii="Arial" w:cs="Arial" w:eastAsia="Arial" w:hAnsi="Arial"/>
                <w:sz w:val="16"/>
                <w:szCs w:val="16"/>
                <w:color w:val="auto"/>
              </w:rPr>
              <w:t>47,000</w:t>
            </w:r>
            <w:r>
              <w:rPr>
                <w:rFonts w:ascii="Arial" w:cs="Arial" w:eastAsia="Arial" w:hAnsi="Arial"/>
                <w:sz w:val="23"/>
                <w:szCs w:val="23"/>
                <w:color w:val="auto"/>
                <w:vertAlign w:val="superscript"/>
              </w:rPr>
              <w:t>(2)</w:t>
            </w:r>
          </w:p>
        </w:tc>
        <w:tc>
          <w:tcPr>
            <w:tcW w:w="1360" w:type="dxa"/>
            <w:vAlign w:val="bottom"/>
            <w:gridSpan w:val="2"/>
            <w:shd w:val="clear" w:color="auto" w:fill="E5E5E5"/>
          </w:tcPr>
          <w:p>
            <w:pPr>
              <w:ind w:left="7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30.58</w:t>
            </w:r>
          </w:p>
        </w:tc>
        <w:tc>
          <w:tcPr>
            <w:tcW w:w="10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10/29/2024</w:t>
            </w:r>
          </w:p>
        </w:tc>
        <w:tc>
          <w:tcPr>
            <w:tcW w:w="0" w:type="dxa"/>
            <w:vAlign w:val="bottom"/>
          </w:tcPr>
          <w:p>
            <w:pPr>
              <w:spacing w:after="0"/>
              <w:rPr>
                <w:sz w:val="1"/>
                <w:szCs w:val="1"/>
                <w:color w:val="auto"/>
              </w:rPr>
            </w:pPr>
          </w:p>
        </w:tc>
      </w:tr>
      <w:tr>
        <w:trPr>
          <w:trHeight w:val="221"/>
        </w:trPr>
        <w:tc>
          <w:tcPr>
            <w:tcW w:w="400" w:type="dxa"/>
            <w:vAlign w:val="bottom"/>
            <w:shd w:val="clear" w:color="auto" w:fill="E5E5E5"/>
          </w:tcPr>
          <w:p>
            <w:pPr>
              <w:spacing w:after="0"/>
              <w:rPr>
                <w:sz w:val="19"/>
                <w:szCs w:val="19"/>
                <w:color w:val="auto"/>
              </w:rPr>
            </w:pPr>
          </w:p>
        </w:tc>
        <w:tc>
          <w:tcPr>
            <w:tcW w:w="268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34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8/1/2014</w:t>
            </w:r>
          </w:p>
        </w:tc>
        <w:tc>
          <w:tcPr>
            <w:tcW w:w="150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6/1/2014</w:t>
            </w:r>
          </w:p>
        </w:tc>
        <w:tc>
          <w:tcPr>
            <w:tcW w:w="1400" w:type="dxa"/>
            <w:vAlign w:val="bottom"/>
            <w:gridSpan w:val="2"/>
            <w:shd w:val="clear" w:color="auto" w:fill="E5E5E5"/>
          </w:tcPr>
          <w:p>
            <w:pPr>
              <w:jc w:val="right"/>
              <w:ind w:right="313"/>
              <w:spacing w:after="0" w:line="221" w:lineRule="exact"/>
              <w:rPr>
                <w:sz w:val="20"/>
                <w:szCs w:val="20"/>
                <w:color w:val="auto"/>
              </w:rPr>
            </w:pPr>
            <w:r>
              <w:rPr>
                <w:rFonts w:ascii="Arial" w:cs="Arial" w:eastAsia="Arial" w:hAnsi="Arial"/>
                <w:sz w:val="17"/>
                <w:szCs w:val="17"/>
                <w:color w:val="auto"/>
              </w:rPr>
              <w:t>9,111</w:t>
            </w:r>
            <w:r>
              <w:rPr>
                <w:rFonts w:ascii="Arial" w:cs="Arial" w:eastAsia="Arial" w:hAnsi="Arial"/>
                <w:sz w:val="25"/>
                <w:szCs w:val="25"/>
                <w:color w:val="auto"/>
                <w:vertAlign w:val="superscript"/>
              </w:rPr>
              <w:t>(2)</w:t>
            </w:r>
          </w:p>
        </w:tc>
        <w:tc>
          <w:tcPr>
            <w:tcW w:w="1360" w:type="dxa"/>
            <w:vAlign w:val="bottom"/>
            <w:gridSpan w:val="2"/>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23.51</w:t>
            </w:r>
          </w:p>
        </w:tc>
        <w:tc>
          <w:tcPr>
            <w:tcW w:w="10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7/31/2024</w:t>
            </w:r>
          </w:p>
        </w:tc>
        <w:tc>
          <w:tcPr>
            <w:tcW w:w="0" w:type="dxa"/>
            <w:vAlign w:val="bottom"/>
          </w:tcPr>
          <w:p>
            <w:pPr>
              <w:spacing w:after="0"/>
              <w:rPr>
                <w:sz w:val="1"/>
                <w:szCs w:val="1"/>
                <w:color w:val="auto"/>
              </w:rPr>
            </w:pPr>
          </w:p>
        </w:tc>
      </w:tr>
      <w:tr>
        <w:trPr>
          <w:trHeight w:val="359"/>
        </w:trPr>
        <w:tc>
          <w:tcPr>
            <w:tcW w:w="3080" w:type="dxa"/>
            <w:vAlign w:val="bottom"/>
            <w:gridSpan w:val="2"/>
          </w:tcPr>
          <w:p>
            <w:pPr>
              <w:spacing w:after="0"/>
              <w:rPr>
                <w:sz w:val="20"/>
                <w:szCs w:val="20"/>
                <w:color w:val="auto"/>
              </w:rPr>
            </w:pPr>
            <w:r>
              <w:rPr>
                <w:rFonts w:ascii="Arial" w:cs="Arial" w:eastAsia="Arial" w:hAnsi="Arial"/>
                <w:sz w:val="18"/>
                <w:szCs w:val="18"/>
                <w:color w:val="auto"/>
              </w:rPr>
              <w:t>Bruce K. Posey</w:t>
            </w:r>
          </w:p>
        </w:tc>
        <w:tc>
          <w:tcPr>
            <w:tcW w:w="32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4/28/2016</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4/28/2016</w:t>
            </w:r>
          </w:p>
        </w:tc>
        <w:tc>
          <w:tcPr>
            <w:tcW w:w="1400" w:type="dxa"/>
            <w:vAlign w:val="bottom"/>
            <w:gridSpan w:val="2"/>
          </w:tcPr>
          <w:p>
            <w:pPr>
              <w:jc w:val="right"/>
              <w:ind w:right="313"/>
              <w:spacing w:after="0"/>
              <w:rPr>
                <w:sz w:val="20"/>
                <w:szCs w:val="20"/>
                <w:color w:val="auto"/>
              </w:rPr>
            </w:pPr>
            <w:r>
              <w:rPr>
                <w:rFonts w:ascii="Arial" w:cs="Arial" w:eastAsia="Arial" w:hAnsi="Arial"/>
                <w:sz w:val="18"/>
                <w:szCs w:val="18"/>
                <w:color w:val="auto"/>
              </w:rPr>
              <w:t>30,300</w:t>
            </w:r>
            <w:r>
              <w:rPr>
                <w:rFonts w:ascii="Arial" w:cs="Arial" w:eastAsia="Arial" w:hAnsi="Arial"/>
                <w:sz w:val="26"/>
                <w:szCs w:val="26"/>
                <w:color w:val="auto"/>
                <w:vertAlign w:val="superscript"/>
              </w:rPr>
              <w:t>(2)</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25.56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4/27/2026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tabs>
          <w:tab w:leader="none" w:pos="4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stock options referenced in this table were granted under our 2012 Equity Incentive Plan.</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of these options was fully vested as of December 31, 2022.</w:t>
      </w:r>
    </w:p>
    <w:p>
      <w:pPr>
        <w:spacing w:after="0" w:line="21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The following table presents information regarding stock awards held by our named executive officers as of December 31, 2022.</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41"/>
        </w:trPr>
        <w:tc>
          <w:tcPr>
            <w:tcW w:w="4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21"/>
                <w:szCs w:val="21"/>
                <w:b w:val="1"/>
                <w:bCs w:val="1"/>
                <w:color w:val="auto"/>
                <w:vertAlign w:val="superscript"/>
              </w:rPr>
              <w:t>(1)</w:t>
            </w:r>
          </w:p>
        </w:tc>
        <w:tc>
          <w:tcPr>
            <w:tcW w:w="1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2"/>
          </w:tcPr>
          <w:p>
            <w:pPr>
              <w:jc w:val="center"/>
              <w:ind w:right="593"/>
              <w:spacing w:after="0" w:line="147" w:lineRule="exact"/>
              <w:rPr>
                <w:sz w:val="20"/>
                <w:szCs w:val="20"/>
                <w:color w:val="auto"/>
              </w:rPr>
            </w:pPr>
            <w:r>
              <w:rPr>
                <w:rFonts w:ascii="Arial" w:cs="Arial" w:eastAsia="Arial" w:hAnsi="Arial"/>
                <w:sz w:val="14"/>
                <w:szCs w:val="14"/>
                <w:b w:val="1"/>
                <w:bCs w:val="1"/>
                <w:color w:val="auto"/>
              </w:rPr>
              <w:t>Equity Incentive</w:t>
            </w: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Equity Incentive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Market</w:t>
            </w:r>
          </w:p>
        </w:tc>
        <w:tc>
          <w:tcPr>
            <w:tcW w:w="1760" w:type="dxa"/>
            <w:vAlign w:val="bottom"/>
            <w:gridSpan w:val="2"/>
          </w:tcPr>
          <w:p>
            <w:pPr>
              <w:jc w:val="center"/>
              <w:ind w:right="593"/>
              <w:spacing w:after="0"/>
              <w:rPr>
                <w:sz w:val="20"/>
                <w:szCs w:val="20"/>
                <w:color w:val="auto"/>
              </w:rPr>
            </w:pPr>
            <w:r>
              <w:rPr>
                <w:rFonts w:ascii="Arial" w:cs="Arial" w:eastAsia="Arial" w:hAnsi="Arial"/>
                <w:sz w:val="14"/>
                <w:szCs w:val="14"/>
                <w:b w:val="1"/>
                <w:bCs w:val="1"/>
                <w:color w:val="auto"/>
              </w:rPr>
              <w:t>Plan Awards:</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 of</w:t>
            </w:r>
          </w:p>
        </w:tc>
        <w:tc>
          <w:tcPr>
            <w:tcW w:w="1760" w:type="dxa"/>
            <w:vAlign w:val="bottom"/>
            <w:gridSpan w:val="2"/>
          </w:tcPr>
          <w:p>
            <w:pPr>
              <w:jc w:val="center"/>
              <w:ind w:right="613"/>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Number of</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 or</w:t>
            </w:r>
          </w:p>
        </w:tc>
        <w:tc>
          <w:tcPr>
            <w:tcW w:w="1760" w:type="dxa"/>
            <w:vAlign w:val="bottom"/>
            <w:gridSpan w:val="2"/>
          </w:tcPr>
          <w:p>
            <w:pPr>
              <w:jc w:val="center"/>
              <w:ind w:right="593"/>
              <w:spacing w:after="0"/>
              <w:rPr>
                <w:sz w:val="20"/>
                <w:szCs w:val="20"/>
                <w:color w:val="auto"/>
              </w:rPr>
            </w:pPr>
            <w:r>
              <w:rPr>
                <w:rFonts w:ascii="Arial" w:cs="Arial" w:eastAsia="Arial" w:hAnsi="Arial"/>
                <w:sz w:val="14"/>
                <w:szCs w:val="14"/>
                <w:b w:val="1"/>
                <w:bCs w:val="1"/>
                <w:color w:val="auto"/>
              </w:rPr>
              <w:t>Unearned</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Shares or</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Units of</w:t>
            </w:r>
          </w:p>
        </w:tc>
        <w:tc>
          <w:tcPr>
            <w:tcW w:w="1760" w:type="dxa"/>
            <w:vAlign w:val="bottom"/>
            <w:gridSpan w:val="2"/>
          </w:tcPr>
          <w:p>
            <w:pPr>
              <w:jc w:val="center"/>
              <w:ind w:right="593"/>
              <w:spacing w:after="0"/>
              <w:rPr>
                <w:sz w:val="20"/>
                <w:szCs w:val="20"/>
                <w:color w:val="auto"/>
              </w:rPr>
            </w:pPr>
            <w:r>
              <w:rPr>
                <w:rFonts w:ascii="Arial" w:cs="Arial" w:eastAsia="Arial" w:hAnsi="Arial"/>
                <w:sz w:val="14"/>
                <w:szCs w:val="14"/>
                <w:b w:val="1"/>
                <w:bCs w:val="1"/>
                <w:color w:val="auto"/>
              </w:rPr>
              <w:t>Shares or Units</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 or Units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Units of Stock</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Stock That</w:t>
            </w:r>
          </w:p>
        </w:tc>
        <w:tc>
          <w:tcPr>
            <w:tcW w:w="1760" w:type="dxa"/>
            <w:vAlign w:val="bottom"/>
            <w:gridSpan w:val="2"/>
          </w:tcPr>
          <w:p>
            <w:pPr>
              <w:jc w:val="center"/>
              <w:ind w:right="593"/>
              <w:spacing w:after="0"/>
              <w:rPr>
                <w:sz w:val="20"/>
                <w:szCs w:val="20"/>
                <w:color w:val="auto"/>
              </w:rPr>
            </w:pPr>
            <w:r>
              <w:rPr>
                <w:rFonts w:ascii="Arial" w:cs="Arial" w:eastAsia="Arial" w:hAnsi="Arial"/>
                <w:sz w:val="14"/>
                <w:szCs w:val="14"/>
                <w:b w:val="1"/>
                <w:bCs w:val="1"/>
                <w:color w:val="auto"/>
              </w:rPr>
              <w:t>of Stock That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of Stock That</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That Have</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Have Not</w:t>
            </w:r>
          </w:p>
        </w:tc>
        <w:tc>
          <w:tcPr>
            <w:tcW w:w="1760" w:type="dxa"/>
            <w:vAlign w:val="bottom"/>
            <w:gridSpan w:val="2"/>
          </w:tcPr>
          <w:p>
            <w:pPr>
              <w:jc w:val="center"/>
              <w:ind w:right="593"/>
              <w:spacing w:after="0"/>
              <w:rPr>
                <w:sz w:val="20"/>
                <w:szCs w:val="20"/>
                <w:color w:val="auto"/>
              </w:rPr>
            </w:pPr>
            <w:r>
              <w:rPr>
                <w:rFonts w:ascii="Arial" w:cs="Arial" w:eastAsia="Arial" w:hAnsi="Arial"/>
                <w:sz w:val="14"/>
                <w:szCs w:val="14"/>
                <w:b w:val="1"/>
                <w:bCs w:val="1"/>
                <w:color w:val="auto"/>
              </w:rPr>
              <w:t>Have Not</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58"/>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06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rPr>
              <w:t>Not Vested</w:t>
            </w:r>
          </w:p>
        </w:tc>
        <w:tc>
          <w:tcPr>
            <w:tcW w:w="12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rPr>
              <w:t>Vested</w:t>
            </w:r>
          </w:p>
        </w:tc>
        <w:tc>
          <w:tcPr>
            <w:tcW w:w="1760" w:type="dxa"/>
            <w:vAlign w:val="bottom"/>
            <w:gridSpan w:val="2"/>
          </w:tcPr>
          <w:p>
            <w:pPr>
              <w:jc w:val="center"/>
              <w:ind w:right="593"/>
              <w:spacing w:after="0" w:line="158" w:lineRule="exact"/>
              <w:rPr>
                <w:sz w:val="20"/>
                <w:szCs w:val="20"/>
                <w:color w:val="auto"/>
              </w:rPr>
            </w:pPr>
            <w:r>
              <w:rPr>
                <w:rFonts w:ascii="Arial" w:cs="Arial" w:eastAsia="Arial" w:hAnsi="Arial"/>
                <w:sz w:val="14"/>
                <w:szCs w:val="14"/>
                <w:b w:val="1"/>
                <w:bCs w:val="1"/>
                <w:color w:val="auto"/>
              </w:rPr>
              <w:t>Vested</w:t>
            </w:r>
          </w:p>
        </w:tc>
        <w:tc>
          <w:tcPr>
            <w:tcW w:w="11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Grant Date</w:t>
            </w:r>
          </w:p>
        </w:tc>
        <w:tc>
          <w:tcPr>
            <w:tcW w:w="1340" w:type="dxa"/>
            <w:vAlign w:val="bottom"/>
            <w:gridSpan w:val="2"/>
          </w:tcPr>
          <w:p>
            <w:pPr>
              <w:jc w:val="center"/>
              <w:ind w:left="299"/>
              <w:spacing w:after="0" w:line="16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(2)</w:t>
            </w:r>
          </w:p>
        </w:tc>
        <w:tc>
          <w:tcPr>
            <w:tcW w:w="660" w:type="dxa"/>
            <w:vAlign w:val="bottom"/>
          </w:tcPr>
          <w:p>
            <w:pPr>
              <w:spacing w:after="0"/>
              <w:rPr>
                <w:sz w:val="15"/>
                <w:szCs w:val="15"/>
                <w:color w:val="auto"/>
              </w:rPr>
            </w:pPr>
          </w:p>
        </w:tc>
        <w:tc>
          <w:tcPr>
            <w:tcW w:w="86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98"/>
              </w:rPr>
              <w:t>($)</w:t>
            </w:r>
            <w:r>
              <w:rPr>
                <w:rFonts w:ascii="Arial" w:cs="Arial" w:eastAsia="Arial" w:hAnsi="Arial"/>
                <w:sz w:val="18"/>
                <w:szCs w:val="18"/>
                <w:b w:val="1"/>
                <w:bCs w:val="1"/>
                <w:color w:val="auto"/>
                <w:w w:val="98"/>
                <w:vertAlign w:val="superscript"/>
              </w:rPr>
              <w:t>(3)</w:t>
            </w:r>
          </w:p>
        </w:tc>
        <w:tc>
          <w:tcPr>
            <w:tcW w:w="420" w:type="dxa"/>
            <w:vAlign w:val="bottom"/>
          </w:tcPr>
          <w:p>
            <w:pPr>
              <w:spacing w:after="0"/>
              <w:rPr>
                <w:sz w:val="15"/>
                <w:szCs w:val="15"/>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98"/>
              </w:rPr>
              <w:t>(#)</w:t>
            </w:r>
            <w:r>
              <w:rPr>
                <w:rFonts w:ascii="Arial" w:cs="Arial" w:eastAsia="Arial" w:hAnsi="Arial"/>
                <w:sz w:val="18"/>
                <w:szCs w:val="18"/>
                <w:b w:val="1"/>
                <w:bCs w:val="1"/>
                <w:color w:val="auto"/>
                <w:w w:val="98"/>
                <w:vertAlign w:val="superscript"/>
              </w:rPr>
              <w:t>(4)</w:t>
            </w:r>
          </w:p>
        </w:tc>
        <w:tc>
          <w:tcPr>
            <w:tcW w:w="660" w:type="dxa"/>
            <w:vAlign w:val="bottom"/>
          </w:tcPr>
          <w:p>
            <w:pPr>
              <w:spacing w:after="0"/>
              <w:rPr>
                <w:sz w:val="15"/>
                <w:szCs w:val="15"/>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98"/>
              </w:rPr>
              <w:t>($)</w:t>
            </w:r>
            <w:r>
              <w:rPr>
                <w:rFonts w:ascii="Arial" w:cs="Arial" w:eastAsia="Arial" w:hAnsi="Arial"/>
                <w:sz w:val="18"/>
                <w:szCs w:val="18"/>
                <w:b w:val="1"/>
                <w:bCs w:val="1"/>
                <w:color w:val="auto"/>
                <w:w w:val="98"/>
                <w:vertAlign w:val="superscript"/>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60" w:type="dxa"/>
            <w:vAlign w:val="bottom"/>
            <w:tcBorders>
              <w:top w:val="single" w:sz="8" w:color="E5E5E5"/>
            </w:tcBorders>
            <w:gridSpan w:val="2"/>
            <w:shd w:val="clear" w:color="auto" w:fill="E5E5E5"/>
          </w:tcPr>
          <w:p>
            <w:pPr>
              <w:spacing w:after="0" w:line="170" w:lineRule="exact"/>
              <w:rPr>
                <w:sz w:val="20"/>
                <w:szCs w:val="20"/>
                <w:color w:val="auto"/>
              </w:rPr>
            </w:pPr>
            <w:r>
              <w:rPr>
                <w:rFonts w:ascii="Arial" w:cs="Arial" w:eastAsia="Arial" w:hAnsi="Arial"/>
                <w:sz w:val="18"/>
                <w:szCs w:val="18"/>
                <w:color w:val="auto"/>
              </w:rPr>
              <w:t>Sumedh S. Thakar</w:t>
            </w:r>
          </w:p>
        </w:tc>
        <w:tc>
          <w:tcPr>
            <w:tcW w:w="360" w:type="dxa"/>
            <w:vAlign w:val="bottom"/>
            <w:tcBorders>
              <w:top w:val="single" w:sz="8" w:color="E5E5E5"/>
            </w:tcBorders>
            <w:shd w:val="clear" w:color="auto" w:fill="E5E5E5"/>
          </w:tcPr>
          <w:p>
            <w:pPr>
              <w:spacing w:after="0"/>
              <w:rPr>
                <w:sz w:val="14"/>
                <w:szCs w:val="14"/>
                <w:color w:val="auto"/>
              </w:rPr>
            </w:pPr>
          </w:p>
        </w:tc>
        <w:tc>
          <w:tcPr>
            <w:tcW w:w="96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10/27/2022</w:t>
            </w:r>
          </w:p>
        </w:tc>
        <w:tc>
          <w:tcPr>
            <w:tcW w:w="40" w:type="dxa"/>
            <w:vAlign w:val="bottom"/>
            <w:tcBorders>
              <w:top w:val="single" w:sz="8" w:color="E5E5E5"/>
            </w:tcBorders>
            <w:shd w:val="clear" w:color="auto" w:fill="E5E5E5"/>
          </w:tcPr>
          <w:p>
            <w:pPr>
              <w:spacing w:after="0"/>
              <w:rPr>
                <w:sz w:val="14"/>
                <w:szCs w:val="14"/>
                <w:color w:val="auto"/>
              </w:rPr>
            </w:pPr>
          </w:p>
        </w:tc>
        <w:tc>
          <w:tcPr>
            <w:tcW w:w="380" w:type="dxa"/>
            <w:vAlign w:val="bottom"/>
            <w:tcBorders>
              <w:top w:val="single" w:sz="8" w:color="E5E5E5"/>
            </w:tcBorders>
            <w:shd w:val="clear" w:color="auto" w:fill="E5E5E5"/>
          </w:tcPr>
          <w:p>
            <w:pPr>
              <w:spacing w:after="0"/>
              <w:rPr>
                <w:sz w:val="14"/>
                <w:szCs w:val="14"/>
                <w:color w:val="auto"/>
              </w:rPr>
            </w:pPr>
          </w:p>
        </w:tc>
        <w:tc>
          <w:tcPr>
            <w:tcW w:w="960" w:type="dxa"/>
            <w:vAlign w:val="bottom"/>
            <w:tcBorders>
              <w:top w:val="single" w:sz="8" w:color="auto"/>
            </w:tcBorders>
            <w:shd w:val="clear" w:color="auto" w:fill="E5E5E5"/>
          </w:tcPr>
          <w:p>
            <w:pPr>
              <w:ind w:left="680"/>
              <w:spacing w:after="0" w:line="170"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E5E5E5"/>
            </w:tcBorders>
            <w:shd w:val="clear" w:color="auto" w:fill="E5E5E5"/>
          </w:tcPr>
          <w:p>
            <w:pPr>
              <w:spacing w:after="0"/>
              <w:rPr>
                <w:sz w:val="14"/>
                <w:szCs w:val="14"/>
                <w:color w:val="auto"/>
              </w:rPr>
            </w:pPr>
          </w:p>
        </w:tc>
        <w:tc>
          <w:tcPr>
            <w:tcW w:w="860" w:type="dxa"/>
            <w:vAlign w:val="bottom"/>
            <w:tcBorders>
              <w:top w:val="single" w:sz="8" w:color="auto"/>
            </w:tcBorders>
            <w:shd w:val="clear" w:color="auto" w:fill="E5E5E5"/>
          </w:tcPr>
          <w:p>
            <w:pPr>
              <w:jc w:val="right"/>
              <w:ind w:right="17"/>
              <w:spacing w:after="0" w:line="170"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E5E5E5"/>
            </w:tcBorders>
            <w:shd w:val="clear" w:color="auto" w:fill="E5E5E5"/>
          </w:tcPr>
          <w:p>
            <w:pPr>
              <w:spacing w:after="0"/>
              <w:rPr>
                <w:sz w:val="14"/>
                <w:szCs w:val="14"/>
                <w:color w:val="auto"/>
              </w:rPr>
            </w:pPr>
          </w:p>
        </w:tc>
        <w:tc>
          <w:tcPr>
            <w:tcW w:w="110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15,178</w:t>
            </w:r>
          </w:p>
        </w:tc>
        <w:tc>
          <w:tcPr>
            <w:tcW w:w="660" w:type="dxa"/>
            <w:vAlign w:val="bottom"/>
            <w:tcBorders>
              <w:top w:val="single" w:sz="8" w:color="E5E5E5"/>
            </w:tcBorders>
            <w:shd w:val="clear" w:color="auto" w:fill="E5E5E5"/>
          </w:tcPr>
          <w:p>
            <w:pPr>
              <w:jc w:val="right"/>
              <w:ind w:right="433"/>
              <w:spacing w:after="0"/>
              <w:rPr>
                <w:sz w:val="20"/>
                <w:szCs w:val="20"/>
                <w:color w:val="auto"/>
              </w:rPr>
            </w:pPr>
            <w:r>
              <w:rPr>
                <w:rFonts w:ascii="Arial" w:cs="Arial" w:eastAsia="Arial" w:hAnsi="Arial"/>
                <w:sz w:val="13"/>
                <w:szCs w:val="13"/>
                <w:color w:val="auto"/>
                <w:w w:val="87"/>
              </w:rPr>
              <w:t>(5)</w:t>
            </w:r>
          </w:p>
        </w:tc>
        <w:tc>
          <w:tcPr>
            <w:tcW w:w="110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1,703,427</w:t>
            </w:r>
          </w:p>
        </w:tc>
        <w:tc>
          <w:tcPr>
            <w:tcW w:w="60" w:type="dxa"/>
            <w:vAlign w:val="bottom"/>
            <w:tcBorders>
              <w:top w:val="single" w:sz="8" w:color="E5E5E5"/>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10/27/2022</w:t>
            </w:r>
          </w:p>
        </w:tc>
        <w:tc>
          <w:tcPr>
            <w:tcW w:w="2000" w:type="dxa"/>
            <w:vAlign w:val="bottom"/>
            <w:gridSpan w:val="3"/>
            <w:shd w:val="clear" w:color="auto" w:fill="E5E5E5"/>
          </w:tcPr>
          <w:p>
            <w:pPr>
              <w:jc w:val="right"/>
              <w:ind w:right="480"/>
              <w:spacing w:after="0" w:line="202" w:lineRule="exact"/>
              <w:rPr>
                <w:sz w:val="20"/>
                <w:szCs w:val="20"/>
                <w:color w:val="auto"/>
              </w:rPr>
            </w:pPr>
            <w:r>
              <w:rPr>
                <w:rFonts w:ascii="Arial" w:cs="Arial" w:eastAsia="Arial" w:hAnsi="Arial"/>
                <w:sz w:val="16"/>
                <w:szCs w:val="16"/>
                <w:color w:val="auto"/>
              </w:rPr>
              <w:t>45,535</w:t>
            </w:r>
            <w:r>
              <w:rPr>
                <w:rFonts w:ascii="Arial" w:cs="Arial" w:eastAsia="Arial" w:hAnsi="Arial"/>
                <w:sz w:val="23"/>
                <w:szCs w:val="23"/>
                <w:color w:val="auto"/>
                <w:vertAlign w:val="superscript"/>
              </w:rPr>
              <w:t>(6)</w:t>
            </w:r>
          </w:p>
        </w:tc>
        <w:tc>
          <w:tcPr>
            <w:tcW w:w="128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5,110,393</w:t>
            </w:r>
          </w:p>
        </w:tc>
        <w:tc>
          <w:tcPr>
            <w:tcW w:w="1760" w:type="dxa"/>
            <w:vAlign w:val="bottom"/>
            <w:gridSpan w:val="2"/>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10/28/2021</w:t>
            </w:r>
          </w:p>
        </w:tc>
        <w:tc>
          <w:tcPr>
            <w:tcW w:w="2000" w:type="dxa"/>
            <w:vAlign w:val="bottom"/>
            <w:gridSpan w:val="3"/>
            <w:shd w:val="clear" w:color="auto" w:fill="E5E5E5"/>
          </w:tcPr>
          <w:p>
            <w:pPr>
              <w:jc w:val="right"/>
              <w:ind w:right="480"/>
              <w:spacing w:after="0" w:line="202" w:lineRule="exact"/>
              <w:rPr>
                <w:sz w:val="20"/>
                <w:szCs w:val="20"/>
                <w:color w:val="auto"/>
              </w:rPr>
            </w:pPr>
            <w:r>
              <w:rPr>
                <w:rFonts w:ascii="Arial" w:cs="Arial" w:eastAsia="Arial" w:hAnsi="Arial"/>
                <w:sz w:val="16"/>
                <w:szCs w:val="16"/>
                <w:color w:val="auto"/>
              </w:rPr>
              <w:t>23,717</w:t>
            </w:r>
            <w:r>
              <w:rPr>
                <w:rFonts w:ascii="Arial" w:cs="Arial" w:eastAsia="Arial" w:hAnsi="Arial"/>
                <w:sz w:val="23"/>
                <w:szCs w:val="23"/>
                <w:color w:val="auto"/>
                <w:vertAlign w:val="superscript"/>
              </w:rPr>
              <w:t>(7)</w:t>
            </w:r>
          </w:p>
        </w:tc>
        <w:tc>
          <w:tcPr>
            <w:tcW w:w="128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2,661,759</w:t>
            </w:r>
          </w:p>
        </w:tc>
        <w:tc>
          <w:tcPr>
            <w:tcW w:w="1760" w:type="dxa"/>
            <w:vAlign w:val="bottom"/>
            <w:gridSpan w:val="2"/>
            <w:shd w:val="clear" w:color="auto" w:fill="E5E5E5"/>
          </w:tcPr>
          <w:p>
            <w:pPr>
              <w:jc w:val="center"/>
              <w:spacing w:after="0" w:line="202" w:lineRule="exact"/>
              <w:rPr>
                <w:sz w:val="20"/>
                <w:szCs w:val="20"/>
                <w:color w:val="auto"/>
              </w:rPr>
            </w:pPr>
            <w:r>
              <w:rPr>
                <w:rFonts w:ascii="Arial" w:cs="Arial" w:eastAsia="Arial" w:hAnsi="Arial"/>
                <w:sz w:val="16"/>
                <w:szCs w:val="16"/>
                <w:color w:val="auto"/>
              </w:rPr>
              <w:t>13,096</w:t>
            </w:r>
            <w:r>
              <w:rPr>
                <w:rFonts w:ascii="Arial" w:cs="Arial" w:eastAsia="Arial" w:hAnsi="Arial"/>
                <w:sz w:val="23"/>
                <w:szCs w:val="23"/>
                <w:color w:val="auto"/>
                <w:vertAlign w:val="superscript"/>
              </w:rPr>
              <w:t>(8)</w:t>
            </w:r>
          </w:p>
        </w:tc>
        <w:tc>
          <w:tcPr>
            <w:tcW w:w="11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1,469,764</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10/28/2021</w:t>
            </w:r>
          </w:p>
        </w:tc>
        <w:tc>
          <w:tcPr>
            <w:tcW w:w="40" w:type="dxa"/>
            <w:vAlign w:val="bottom"/>
            <w:shd w:val="clear" w:color="auto" w:fill="E5E5E5"/>
          </w:tcPr>
          <w:p>
            <w:pPr>
              <w:spacing w:after="0"/>
              <w:rPr>
                <w:sz w:val="17"/>
                <w:szCs w:val="17"/>
                <w:color w:val="auto"/>
              </w:rPr>
            </w:pPr>
          </w:p>
        </w:tc>
        <w:tc>
          <w:tcPr>
            <w:tcW w:w="2000" w:type="dxa"/>
            <w:vAlign w:val="bottom"/>
            <w:gridSpan w:val="3"/>
            <w:shd w:val="clear" w:color="auto" w:fill="E5E5E5"/>
          </w:tcPr>
          <w:p>
            <w:pPr>
              <w:jc w:val="right"/>
              <w:ind w:right="480"/>
              <w:spacing w:after="0" w:line="202" w:lineRule="exact"/>
              <w:rPr>
                <w:sz w:val="20"/>
                <w:szCs w:val="20"/>
                <w:color w:val="auto"/>
              </w:rPr>
            </w:pPr>
            <w:r>
              <w:rPr>
                <w:rFonts w:ascii="Arial" w:cs="Arial" w:eastAsia="Arial" w:hAnsi="Arial"/>
                <w:sz w:val="16"/>
                <w:szCs w:val="16"/>
                <w:color w:val="auto"/>
              </w:rPr>
              <w:t>29,466</w:t>
            </w:r>
            <w:r>
              <w:rPr>
                <w:rFonts w:ascii="Arial" w:cs="Arial" w:eastAsia="Arial" w:hAnsi="Arial"/>
                <w:sz w:val="23"/>
                <w:szCs w:val="23"/>
                <w:color w:val="auto"/>
                <w:vertAlign w:val="superscript"/>
              </w:rPr>
              <w:t>(9)</w:t>
            </w:r>
          </w:p>
        </w:tc>
        <w:tc>
          <w:tcPr>
            <w:tcW w:w="128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3,306,969</w:t>
            </w:r>
          </w:p>
        </w:tc>
        <w:tc>
          <w:tcPr>
            <w:tcW w:w="1760" w:type="dxa"/>
            <w:vAlign w:val="bottom"/>
            <w:gridSpan w:val="2"/>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4/27/2021</w:t>
            </w:r>
          </w:p>
        </w:tc>
        <w:tc>
          <w:tcPr>
            <w:tcW w:w="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620" w:type="dxa"/>
            <w:vAlign w:val="bottom"/>
            <w:gridSpan w:val="2"/>
            <w:shd w:val="clear" w:color="auto" w:fill="E5E5E5"/>
          </w:tcPr>
          <w:p>
            <w:pPr>
              <w:ind w:left="6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E5E5E5"/>
          </w:tcPr>
          <w:p>
            <w:pPr>
              <w:jc w:val="right"/>
              <w:ind w:right="353"/>
              <w:spacing w:after="0" w:line="202" w:lineRule="exact"/>
              <w:rPr>
                <w:sz w:val="20"/>
                <w:szCs w:val="20"/>
                <w:color w:val="auto"/>
              </w:rPr>
            </w:pPr>
            <w:r>
              <w:rPr>
                <w:rFonts w:ascii="Arial" w:cs="Arial" w:eastAsia="Arial" w:hAnsi="Arial"/>
                <w:sz w:val="16"/>
                <w:szCs w:val="16"/>
                <w:color w:val="auto"/>
              </w:rPr>
              <w:t>9,671</w:t>
            </w:r>
            <w:r>
              <w:rPr>
                <w:rFonts w:ascii="Arial" w:cs="Arial" w:eastAsia="Arial" w:hAnsi="Arial"/>
                <w:sz w:val="23"/>
                <w:szCs w:val="23"/>
                <w:color w:val="auto"/>
                <w:vertAlign w:val="superscript"/>
              </w:rPr>
              <w:t>(10)</w:t>
            </w:r>
          </w:p>
        </w:tc>
        <w:tc>
          <w:tcPr>
            <w:tcW w:w="11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1,085,376</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4/27/2021</w:t>
            </w:r>
          </w:p>
        </w:tc>
        <w:tc>
          <w:tcPr>
            <w:tcW w:w="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62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6"/>
                <w:szCs w:val="16"/>
                <w:color w:val="auto"/>
              </w:rPr>
              <w:t>6,045</w:t>
            </w:r>
            <w:r>
              <w:rPr>
                <w:rFonts w:ascii="Arial" w:cs="Arial" w:eastAsia="Arial" w:hAnsi="Arial"/>
                <w:sz w:val="23"/>
                <w:szCs w:val="23"/>
                <w:color w:val="auto"/>
                <w:vertAlign w:val="superscript"/>
              </w:rPr>
              <w:t>(10)</w:t>
            </w:r>
          </w:p>
        </w:tc>
        <w:tc>
          <w:tcPr>
            <w:tcW w:w="128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678,430</w:t>
            </w:r>
          </w:p>
        </w:tc>
        <w:tc>
          <w:tcPr>
            <w:tcW w:w="1760" w:type="dxa"/>
            <w:vAlign w:val="bottom"/>
            <w:gridSpan w:val="2"/>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10/27/2020</w:t>
            </w:r>
          </w:p>
        </w:tc>
        <w:tc>
          <w:tcPr>
            <w:tcW w:w="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62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6"/>
                <w:szCs w:val="16"/>
                <w:color w:val="auto"/>
              </w:rPr>
              <w:t>40,540</w:t>
            </w:r>
            <w:r>
              <w:rPr>
                <w:rFonts w:ascii="Arial" w:cs="Arial" w:eastAsia="Arial" w:hAnsi="Arial"/>
                <w:sz w:val="23"/>
                <w:szCs w:val="23"/>
                <w:color w:val="auto"/>
                <w:vertAlign w:val="superscript"/>
              </w:rPr>
              <w:t>(11)</w:t>
            </w:r>
          </w:p>
        </w:tc>
        <w:tc>
          <w:tcPr>
            <w:tcW w:w="128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4,549,804</w:t>
            </w:r>
          </w:p>
        </w:tc>
        <w:tc>
          <w:tcPr>
            <w:tcW w:w="1760" w:type="dxa"/>
            <w:vAlign w:val="bottom"/>
            <w:gridSpan w:val="2"/>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00" w:type="dxa"/>
            <w:vAlign w:val="bottom"/>
            <w:shd w:val="clear" w:color="auto" w:fill="E5E5E5"/>
          </w:tcPr>
          <w:p>
            <w:pPr>
              <w:spacing w:after="0"/>
              <w:rPr>
                <w:sz w:val="19"/>
                <w:szCs w:val="19"/>
                <w:color w:val="auto"/>
              </w:rPr>
            </w:pPr>
          </w:p>
        </w:tc>
        <w:tc>
          <w:tcPr>
            <w:tcW w:w="306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10/24/2019</w:t>
            </w:r>
          </w:p>
        </w:tc>
        <w:tc>
          <w:tcPr>
            <w:tcW w:w="4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620" w:type="dxa"/>
            <w:vAlign w:val="bottom"/>
            <w:gridSpan w:val="2"/>
            <w:shd w:val="clear" w:color="auto" w:fill="E5E5E5"/>
          </w:tcPr>
          <w:p>
            <w:pPr>
              <w:jc w:val="right"/>
              <w:ind w:right="420"/>
              <w:spacing w:after="0" w:line="221" w:lineRule="exact"/>
              <w:rPr>
                <w:sz w:val="20"/>
                <w:szCs w:val="20"/>
                <w:color w:val="auto"/>
              </w:rPr>
            </w:pPr>
            <w:r>
              <w:rPr>
                <w:rFonts w:ascii="Arial" w:cs="Arial" w:eastAsia="Arial" w:hAnsi="Arial"/>
                <w:sz w:val="17"/>
                <w:szCs w:val="17"/>
                <w:color w:val="auto"/>
              </w:rPr>
              <w:t>20,554</w:t>
            </w:r>
            <w:r>
              <w:rPr>
                <w:rFonts w:ascii="Arial" w:cs="Arial" w:eastAsia="Arial" w:hAnsi="Arial"/>
                <w:sz w:val="25"/>
                <w:szCs w:val="25"/>
                <w:color w:val="auto"/>
                <w:vertAlign w:val="superscript"/>
              </w:rPr>
              <w:t>(13)</w:t>
            </w:r>
          </w:p>
        </w:tc>
        <w:tc>
          <w:tcPr>
            <w:tcW w:w="1280" w:type="dxa"/>
            <w:vAlign w:val="bottom"/>
            <w:gridSpan w:val="2"/>
            <w:shd w:val="clear" w:color="auto" w:fill="E5E5E5"/>
          </w:tcPr>
          <w:p>
            <w:pPr>
              <w:jc w:val="right"/>
              <w:ind w:right="420"/>
              <w:spacing w:after="0"/>
              <w:rPr>
                <w:sz w:val="20"/>
                <w:szCs w:val="20"/>
                <w:color w:val="auto"/>
              </w:rPr>
            </w:pPr>
            <w:r>
              <w:rPr>
                <w:rFonts w:ascii="Arial" w:cs="Arial" w:eastAsia="Arial" w:hAnsi="Arial"/>
                <w:sz w:val="18"/>
                <w:szCs w:val="18"/>
                <w:color w:val="auto"/>
              </w:rPr>
              <w:t>2,306,775</w:t>
            </w:r>
          </w:p>
        </w:tc>
        <w:tc>
          <w:tcPr>
            <w:tcW w:w="1760" w:type="dxa"/>
            <w:vAlign w:val="bottom"/>
            <w:gridSpan w:val="2"/>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460" w:type="dxa"/>
            <w:vAlign w:val="bottom"/>
            <w:gridSpan w:val="2"/>
          </w:tcPr>
          <w:p>
            <w:pPr>
              <w:spacing w:after="0" w:line="183" w:lineRule="exact"/>
              <w:rPr>
                <w:sz w:val="20"/>
                <w:szCs w:val="20"/>
                <w:color w:val="auto"/>
              </w:rPr>
            </w:pPr>
            <w:r>
              <w:rPr>
                <w:rFonts w:ascii="Arial" w:cs="Arial" w:eastAsia="Arial" w:hAnsi="Arial"/>
                <w:sz w:val="18"/>
                <w:szCs w:val="18"/>
                <w:color w:val="auto"/>
              </w:rPr>
              <w:t>Joo Mi Kim</w:t>
            </w:r>
          </w:p>
        </w:tc>
        <w:tc>
          <w:tcPr>
            <w:tcW w:w="3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10/27/2022</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gridSpan w:val="2"/>
          </w:tcPr>
          <w:p>
            <w:pPr>
              <w:ind w:left="680"/>
              <w:spacing w:after="0" w:line="18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20"/>
              <w:spacing w:after="0" w:line="183"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33"/>
              <w:spacing w:after="0" w:line="184" w:lineRule="exact"/>
              <w:rPr>
                <w:sz w:val="20"/>
                <w:szCs w:val="20"/>
                <w:color w:val="auto"/>
              </w:rPr>
            </w:pPr>
            <w:r>
              <w:rPr>
                <w:rFonts w:ascii="Arial" w:cs="Arial" w:eastAsia="Arial" w:hAnsi="Arial"/>
                <w:sz w:val="15"/>
                <w:szCs w:val="15"/>
                <w:color w:val="auto"/>
              </w:rPr>
              <w:t>3,923</w:t>
            </w:r>
            <w:r>
              <w:rPr>
                <w:rFonts w:ascii="Arial" w:cs="Arial" w:eastAsia="Arial" w:hAnsi="Arial"/>
                <w:sz w:val="21"/>
                <w:szCs w:val="21"/>
                <w:color w:val="auto"/>
                <w:vertAlign w:val="superscript"/>
              </w:rPr>
              <w:t>(5)</w:t>
            </w:r>
          </w:p>
        </w:tc>
        <w:tc>
          <w:tcPr>
            <w:tcW w:w="116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440,278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10/27/2022</w:t>
            </w:r>
          </w:p>
        </w:tc>
        <w:tc>
          <w:tcPr>
            <w:tcW w:w="2000" w:type="dxa"/>
            <w:vAlign w:val="bottom"/>
            <w:gridSpan w:val="3"/>
          </w:tcPr>
          <w:p>
            <w:pPr>
              <w:jc w:val="right"/>
              <w:ind w:right="480"/>
              <w:spacing w:after="0" w:line="202" w:lineRule="exact"/>
              <w:rPr>
                <w:sz w:val="20"/>
                <w:szCs w:val="20"/>
                <w:color w:val="auto"/>
              </w:rPr>
            </w:pPr>
            <w:r>
              <w:rPr>
                <w:rFonts w:ascii="Arial" w:cs="Arial" w:eastAsia="Arial" w:hAnsi="Arial"/>
                <w:sz w:val="16"/>
                <w:szCs w:val="16"/>
                <w:color w:val="auto"/>
              </w:rPr>
              <w:t>27,461</w:t>
            </w:r>
            <w:r>
              <w:rPr>
                <w:rFonts w:ascii="Arial" w:cs="Arial" w:eastAsia="Arial" w:hAnsi="Arial"/>
                <w:sz w:val="23"/>
                <w:szCs w:val="23"/>
                <w:color w:val="auto"/>
                <w:vertAlign w:val="superscript"/>
              </w:rPr>
              <w:t>(6)</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3,081,948</w:t>
            </w:r>
          </w:p>
        </w:tc>
        <w:tc>
          <w:tcPr>
            <w:tcW w:w="17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10/28/2021</w:t>
            </w:r>
          </w:p>
        </w:tc>
        <w:tc>
          <w:tcPr>
            <w:tcW w:w="2000" w:type="dxa"/>
            <w:vAlign w:val="bottom"/>
            <w:gridSpan w:val="3"/>
          </w:tcPr>
          <w:p>
            <w:pPr>
              <w:jc w:val="right"/>
              <w:ind w:right="480"/>
              <w:spacing w:after="0" w:line="202" w:lineRule="exact"/>
              <w:rPr>
                <w:sz w:val="20"/>
                <w:szCs w:val="20"/>
                <w:color w:val="auto"/>
              </w:rPr>
            </w:pPr>
            <w:r>
              <w:rPr>
                <w:rFonts w:ascii="Arial" w:cs="Arial" w:eastAsia="Arial" w:hAnsi="Arial"/>
                <w:sz w:val="16"/>
                <w:szCs w:val="16"/>
                <w:color w:val="auto"/>
              </w:rPr>
              <w:t>8,565</w:t>
            </w:r>
            <w:r>
              <w:rPr>
                <w:rFonts w:ascii="Arial" w:cs="Arial" w:eastAsia="Arial" w:hAnsi="Arial"/>
                <w:sz w:val="23"/>
                <w:szCs w:val="23"/>
                <w:color w:val="auto"/>
                <w:vertAlign w:val="superscript"/>
              </w:rPr>
              <w:t>(7)</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961,250</w:t>
            </w:r>
          </w:p>
        </w:tc>
        <w:tc>
          <w:tcPr>
            <w:tcW w:w="1760" w:type="dxa"/>
            <w:vAlign w:val="bottom"/>
            <w:gridSpan w:val="2"/>
          </w:tcPr>
          <w:p>
            <w:pPr>
              <w:jc w:val="right"/>
              <w:ind w:right="433"/>
              <w:spacing w:after="0" w:line="202" w:lineRule="exact"/>
              <w:rPr>
                <w:sz w:val="20"/>
                <w:szCs w:val="20"/>
                <w:color w:val="auto"/>
              </w:rPr>
            </w:pPr>
            <w:r>
              <w:rPr>
                <w:rFonts w:ascii="Arial" w:cs="Arial" w:eastAsia="Arial" w:hAnsi="Arial"/>
                <w:sz w:val="16"/>
                <w:szCs w:val="16"/>
                <w:color w:val="auto"/>
              </w:rPr>
              <w:t>4,728</w:t>
            </w:r>
            <w:r>
              <w:rPr>
                <w:rFonts w:ascii="Arial" w:cs="Arial" w:eastAsia="Arial" w:hAnsi="Arial"/>
                <w:sz w:val="23"/>
                <w:szCs w:val="23"/>
                <w:color w:val="auto"/>
                <w:vertAlign w:val="superscript"/>
              </w:rPr>
              <w:t>(8)</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530,623</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10/28/2021</w:t>
            </w:r>
          </w:p>
        </w:tc>
        <w:tc>
          <w:tcPr>
            <w:tcW w:w="2000" w:type="dxa"/>
            <w:vAlign w:val="bottom"/>
            <w:gridSpan w:val="3"/>
          </w:tcPr>
          <w:p>
            <w:pPr>
              <w:jc w:val="right"/>
              <w:ind w:right="480"/>
              <w:spacing w:after="0" w:line="202" w:lineRule="exact"/>
              <w:rPr>
                <w:sz w:val="20"/>
                <w:szCs w:val="20"/>
                <w:color w:val="auto"/>
              </w:rPr>
            </w:pPr>
            <w:r>
              <w:rPr>
                <w:rFonts w:ascii="Arial" w:cs="Arial" w:eastAsia="Arial" w:hAnsi="Arial"/>
                <w:sz w:val="16"/>
                <w:szCs w:val="16"/>
                <w:color w:val="auto"/>
              </w:rPr>
              <w:t>24,825</w:t>
            </w:r>
            <w:r>
              <w:rPr>
                <w:rFonts w:ascii="Arial" w:cs="Arial" w:eastAsia="Arial" w:hAnsi="Arial"/>
                <w:sz w:val="23"/>
                <w:szCs w:val="23"/>
                <w:color w:val="auto"/>
                <w:vertAlign w:val="superscript"/>
              </w:rPr>
              <w:t>(9)</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2,786,110</w:t>
            </w:r>
          </w:p>
        </w:tc>
        <w:tc>
          <w:tcPr>
            <w:tcW w:w="17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10/27/2020</w:t>
            </w:r>
          </w:p>
        </w:tc>
        <w:tc>
          <w:tcPr>
            <w:tcW w:w="2000" w:type="dxa"/>
            <w:vAlign w:val="bottom"/>
            <w:gridSpan w:val="3"/>
          </w:tcPr>
          <w:p>
            <w:pPr>
              <w:jc w:val="right"/>
              <w:ind w:right="420"/>
              <w:spacing w:after="0" w:line="202" w:lineRule="exact"/>
              <w:rPr>
                <w:sz w:val="20"/>
                <w:szCs w:val="20"/>
                <w:color w:val="auto"/>
              </w:rPr>
            </w:pPr>
            <w:r>
              <w:rPr>
                <w:rFonts w:ascii="Arial" w:cs="Arial" w:eastAsia="Arial" w:hAnsi="Arial"/>
                <w:sz w:val="16"/>
                <w:szCs w:val="16"/>
                <w:color w:val="auto"/>
              </w:rPr>
              <w:t>5,068</w:t>
            </w:r>
            <w:r>
              <w:rPr>
                <w:rFonts w:ascii="Arial" w:cs="Arial" w:eastAsia="Arial" w:hAnsi="Arial"/>
                <w:sz w:val="23"/>
                <w:szCs w:val="23"/>
                <w:color w:val="auto"/>
                <w:vertAlign w:val="superscript"/>
              </w:rPr>
              <w:t>(12)</w:t>
            </w: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568,782</w:t>
            </w:r>
          </w:p>
        </w:tc>
        <w:tc>
          <w:tcPr>
            <w:tcW w:w="17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4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7/29/2020</w:t>
            </w:r>
          </w:p>
        </w:tc>
        <w:tc>
          <w:tcPr>
            <w:tcW w:w="2000" w:type="dxa"/>
            <w:vAlign w:val="bottom"/>
            <w:gridSpan w:val="3"/>
          </w:tcPr>
          <w:p>
            <w:pPr>
              <w:jc w:val="right"/>
              <w:ind w:right="420"/>
              <w:spacing w:after="0"/>
              <w:rPr>
                <w:sz w:val="20"/>
                <w:szCs w:val="20"/>
                <w:color w:val="auto"/>
              </w:rPr>
            </w:pPr>
            <w:r>
              <w:rPr>
                <w:rFonts w:ascii="Arial" w:cs="Arial" w:eastAsia="Arial" w:hAnsi="Arial"/>
                <w:sz w:val="18"/>
                <w:szCs w:val="18"/>
                <w:color w:val="auto"/>
              </w:rPr>
              <w:t>16,579</w:t>
            </w:r>
            <w:r>
              <w:rPr>
                <w:rFonts w:ascii="Arial" w:cs="Arial" w:eastAsia="Arial" w:hAnsi="Arial"/>
                <w:sz w:val="26"/>
                <w:szCs w:val="26"/>
                <w:color w:val="auto"/>
                <w:vertAlign w:val="superscript"/>
              </w:rPr>
              <w:t>(14)</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1,860,661</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01" w:right="439" w:bottom="144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41"/>
        </w:trPr>
        <w:tc>
          <w:tcPr>
            <w:tcW w:w="4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21"/>
                <w:szCs w:val="21"/>
                <w:b w:val="1"/>
                <w:bCs w:val="1"/>
                <w:color w:val="auto"/>
                <w:vertAlign w:val="superscript"/>
              </w:rPr>
              <w:t>(1)</w:t>
            </w:r>
          </w:p>
        </w:tc>
        <w:tc>
          <w:tcPr>
            <w:tcW w:w="1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gridSpan w:val="2"/>
          </w:tcPr>
          <w:p>
            <w:pPr>
              <w:jc w:val="center"/>
              <w:ind w:right="533"/>
              <w:spacing w:after="0" w:line="147" w:lineRule="exact"/>
              <w:rPr>
                <w:sz w:val="20"/>
                <w:szCs w:val="20"/>
                <w:color w:val="auto"/>
              </w:rPr>
            </w:pPr>
            <w:r>
              <w:rPr>
                <w:rFonts w:ascii="Arial" w:cs="Arial" w:eastAsia="Arial" w:hAnsi="Arial"/>
                <w:sz w:val="14"/>
                <w:szCs w:val="14"/>
                <w:b w:val="1"/>
                <w:bCs w:val="1"/>
                <w:color w:val="auto"/>
              </w:rPr>
              <w:t>Equity Incentive</w:t>
            </w: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Equity Incentive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Market</w:t>
            </w:r>
          </w:p>
        </w:tc>
        <w:tc>
          <w:tcPr>
            <w:tcW w:w="1700" w:type="dxa"/>
            <w:vAlign w:val="bottom"/>
            <w:gridSpan w:val="2"/>
          </w:tcPr>
          <w:p>
            <w:pPr>
              <w:jc w:val="center"/>
              <w:ind w:right="513"/>
              <w:spacing w:after="0"/>
              <w:rPr>
                <w:sz w:val="20"/>
                <w:szCs w:val="20"/>
                <w:color w:val="auto"/>
              </w:rPr>
            </w:pPr>
            <w:r>
              <w:rPr>
                <w:rFonts w:ascii="Arial" w:cs="Arial" w:eastAsia="Arial" w:hAnsi="Arial"/>
                <w:sz w:val="14"/>
                <w:szCs w:val="14"/>
                <w:b w:val="1"/>
                <w:bCs w:val="1"/>
                <w:color w:val="auto"/>
              </w:rPr>
              <w:t>Plan Awards:</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 of</w:t>
            </w:r>
          </w:p>
        </w:tc>
        <w:tc>
          <w:tcPr>
            <w:tcW w:w="1700" w:type="dxa"/>
            <w:vAlign w:val="bottom"/>
            <w:gridSpan w:val="2"/>
          </w:tcPr>
          <w:p>
            <w:pPr>
              <w:jc w:val="center"/>
              <w:ind w:right="513"/>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 or</w:t>
            </w:r>
          </w:p>
        </w:tc>
        <w:tc>
          <w:tcPr>
            <w:tcW w:w="1700" w:type="dxa"/>
            <w:vAlign w:val="bottom"/>
            <w:gridSpan w:val="2"/>
          </w:tcPr>
          <w:p>
            <w:pPr>
              <w:jc w:val="center"/>
              <w:ind w:right="533"/>
              <w:spacing w:after="0"/>
              <w:rPr>
                <w:sz w:val="20"/>
                <w:szCs w:val="20"/>
                <w:color w:val="auto"/>
              </w:rPr>
            </w:pPr>
            <w:r>
              <w:rPr>
                <w:rFonts w:ascii="Arial" w:cs="Arial" w:eastAsia="Arial" w:hAnsi="Arial"/>
                <w:sz w:val="14"/>
                <w:szCs w:val="14"/>
                <w:b w:val="1"/>
                <w:bCs w:val="1"/>
                <w:color w:val="auto"/>
              </w:rPr>
              <w:t>Unearned</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 or</w:t>
            </w:r>
          </w:p>
        </w:tc>
        <w:tc>
          <w:tcPr>
            <w:tcW w:w="2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Units of</w:t>
            </w:r>
          </w:p>
        </w:tc>
        <w:tc>
          <w:tcPr>
            <w:tcW w:w="1700" w:type="dxa"/>
            <w:vAlign w:val="bottom"/>
            <w:gridSpan w:val="2"/>
          </w:tcPr>
          <w:p>
            <w:pPr>
              <w:jc w:val="center"/>
              <w:ind w:right="533"/>
              <w:spacing w:after="0"/>
              <w:rPr>
                <w:sz w:val="20"/>
                <w:szCs w:val="20"/>
                <w:color w:val="auto"/>
              </w:rPr>
            </w:pPr>
            <w:r>
              <w:rPr>
                <w:rFonts w:ascii="Arial" w:cs="Arial" w:eastAsia="Arial" w:hAnsi="Arial"/>
                <w:sz w:val="14"/>
                <w:szCs w:val="14"/>
                <w:b w:val="1"/>
                <w:bCs w:val="1"/>
                <w:color w:val="auto"/>
              </w:rPr>
              <w:t>Shares or Units</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 or Units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Units of Stock</w:t>
            </w:r>
          </w:p>
        </w:tc>
        <w:tc>
          <w:tcPr>
            <w:tcW w:w="2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Stock That</w:t>
            </w:r>
          </w:p>
        </w:tc>
        <w:tc>
          <w:tcPr>
            <w:tcW w:w="1700" w:type="dxa"/>
            <w:vAlign w:val="bottom"/>
            <w:gridSpan w:val="2"/>
          </w:tcPr>
          <w:p>
            <w:pPr>
              <w:jc w:val="center"/>
              <w:ind w:right="513"/>
              <w:spacing w:after="0"/>
              <w:rPr>
                <w:sz w:val="20"/>
                <w:szCs w:val="20"/>
                <w:color w:val="auto"/>
              </w:rPr>
            </w:pPr>
            <w:r>
              <w:rPr>
                <w:rFonts w:ascii="Arial" w:cs="Arial" w:eastAsia="Arial" w:hAnsi="Arial"/>
                <w:sz w:val="14"/>
                <w:szCs w:val="14"/>
                <w:b w:val="1"/>
                <w:bCs w:val="1"/>
                <w:color w:val="auto"/>
              </w:rPr>
              <w:t>of Stock That</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Stock That</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That Have</w:t>
            </w:r>
          </w:p>
        </w:tc>
        <w:tc>
          <w:tcPr>
            <w:tcW w:w="2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Have Not</w:t>
            </w:r>
          </w:p>
        </w:tc>
        <w:tc>
          <w:tcPr>
            <w:tcW w:w="1700" w:type="dxa"/>
            <w:vAlign w:val="bottom"/>
            <w:gridSpan w:val="2"/>
          </w:tcPr>
          <w:p>
            <w:pPr>
              <w:jc w:val="center"/>
              <w:ind w:right="533"/>
              <w:spacing w:after="0"/>
              <w:rPr>
                <w:sz w:val="20"/>
                <w:szCs w:val="20"/>
                <w:color w:val="auto"/>
              </w:rPr>
            </w:pPr>
            <w:r>
              <w:rPr>
                <w:rFonts w:ascii="Arial" w:cs="Arial" w:eastAsia="Arial" w:hAnsi="Arial"/>
                <w:sz w:val="14"/>
                <w:szCs w:val="14"/>
                <w:b w:val="1"/>
                <w:bCs w:val="1"/>
                <w:color w:val="auto"/>
              </w:rPr>
              <w:t>Have Not</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58"/>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06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rPr>
              <w:t>Not Vested</w:t>
            </w:r>
          </w:p>
        </w:tc>
        <w:tc>
          <w:tcPr>
            <w:tcW w:w="220" w:type="dxa"/>
            <w:vAlign w:val="bottom"/>
          </w:tcPr>
          <w:p>
            <w:pPr>
              <w:spacing w:after="0"/>
              <w:rPr>
                <w:sz w:val="13"/>
                <w:szCs w:val="13"/>
                <w:color w:val="auto"/>
              </w:rPr>
            </w:pPr>
          </w:p>
        </w:tc>
        <w:tc>
          <w:tcPr>
            <w:tcW w:w="13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rPr>
              <w:t>Vested</w:t>
            </w:r>
          </w:p>
        </w:tc>
        <w:tc>
          <w:tcPr>
            <w:tcW w:w="1700" w:type="dxa"/>
            <w:vAlign w:val="bottom"/>
            <w:gridSpan w:val="2"/>
          </w:tcPr>
          <w:p>
            <w:pPr>
              <w:jc w:val="center"/>
              <w:ind w:right="533"/>
              <w:spacing w:after="0" w:line="158" w:lineRule="exact"/>
              <w:rPr>
                <w:sz w:val="20"/>
                <w:szCs w:val="20"/>
                <w:color w:val="auto"/>
              </w:rPr>
            </w:pPr>
            <w:r>
              <w:rPr>
                <w:rFonts w:ascii="Arial" w:cs="Arial" w:eastAsia="Arial" w:hAnsi="Arial"/>
                <w:sz w:val="14"/>
                <w:szCs w:val="14"/>
                <w:b w:val="1"/>
                <w:bCs w:val="1"/>
                <w:color w:val="auto"/>
              </w:rPr>
              <w:t>Vested</w:t>
            </w:r>
          </w:p>
        </w:tc>
        <w:tc>
          <w:tcPr>
            <w:tcW w:w="11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Grant Date</w:t>
            </w:r>
          </w:p>
        </w:tc>
        <w:tc>
          <w:tcPr>
            <w:tcW w:w="96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(2)</w:t>
            </w:r>
          </w:p>
        </w:tc>
        <w:tc>
          <w:tcPr>
            <w:tcW w:w="440" w:type="dxa"/>
            <w:vAlign w:val="bottom"/>
          </w:tcPr>
          <w:p>
            <w:pPr>
              <w:spacing w:after="0"/>
              <w:rPr>
                <w:sz w:val="15"/>
                <w:szCs w:val="15"/>
                <w:color w:val="auto"/>
              </w:rPr>
            </w:pPr>
          </w:p>
        </w:tc>
        <w:tc>
          <w:tcPr>
            <w:tcW w:w="1100" w:type="dxa"/>
            <w:vAlign w:val="bottom"/>
            <w:gridSpan w:val="2"/>
          </w:tcPr>
          <w:p>
            <w:pPr>
              <w:jc w:val="center"/>
              <w:ind w:left="135"/>
              <w:spacing w:after="0" w:line="16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(3)</w:t>
            </w:r>
          </w:p>
        </w:tc>
        <w:tc>
          <w:tcPr>
            <w:tcW w:w="420" w:type="dxa"/>
            <w:vAlign w:val="bottom"/>
          </w:tcPr>
          <w:p>
            <w:pPr>
              <w:spacing w:after="0"/>
              <w:rPr>
                <w:sz w:val="15"/>
                <w:szCs w:val="15"/>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(4)</w:t>
            </w:r>
          </w:p>
        </w:tc>
        <w:tc>
          <w:tcPr>
            <w:tcW w:w="580" w:type="dxa"/>
            <w:vAlign w:val="bottom"/>
          </w:tcPr>
          <w:p>
            <w:pPr>
              <w:spacing w:after="0"/>
              <w:rPr>
                <w:sz w:val="15"/>
                <w:szCs w:val="15"/>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98"/>
              </w:rPr>
              <w:t>($)</w:t>
            </w:r>
            <w:r>
              <w:rPr>
                <w:rFonts w:ascii="Arial" w:cs="Arial" w:eastAsia="Arial" w:hAnsi="Arial"/>
                <w:sz w:val="18"/>
                <w:szCs w:val="18"/>
                <w:b w:val="1"/>
                <w:bCs w:val="1"/>
                <w:color w:val="auto"/>
                <w:w w:val="98"/>
                <w:vertAlign w:val="superscript"/>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60" w:type="dxa"/>
            <w:vAlign w:val="bottom"/>
            <w:tcBorders>
              <w:top w:val="single" w:sz="8" w:color="E5E5E5"/>
            </w:tcBorders>
            <w:gridSpan w:val="2"/>
            <w:shd w:val="clear" w:color="auto" w:fill="E5E5E5"/>
          </w:tcPr>
          <w:p>
            <w:pPr>
              <w:spacing w:after="0" w:line="170" w:lineRule="exact"/>
              <w:rPr>
                <w:sz w:val="20"/>
                <w:szCs w:val="20"/>
                <w:color w:val="auto"/>
              </w:rPr>
            </w:pPr>
            <w:r>
              <w:rPr>
                <w:rFonts w:ascii="Arial" w:cs="Arial" w:eastAsia="Arial" w:hAnsi="Arial"/>
                <w:sz w:val="18"/>
                <w:szCs w:val="18"/>
                <w:color w:val="auto"/>
              </w:rPr>
              <w:t>Allan Peters</w:t>
            </w:r>
          </w:p>
        </w:tc>
        <w:tc>
          <w:tcPr>
            <w:tcW w:w="380" w:type="dxa"/>
            <w:vAlign w:val="bottom"/>
            <w:tcBorders>
              <w:top w:val="single" w:sz="8" w:color="E5E5E5"/>
            </w:tcBorders>
            <w:shd w:val="clear" w:color="auto" w:fill="E5E5E5"/>
          </w:tcPr>
          <w:p>
            <w:pPr>
              <w:spacing w:after="0"/>
              <w:rPr>
                <w:sz w:val="14"/>
                <w:szCs w:val="14"/>
                <w:color w:val="auto"/>
              </w:rPr>
            </w:pPr>
          </w:p>
        </w:tc>
        <w:tc>
          <w:tcPr>
            <w:tcW w:w="96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10/27/2022</w:t>
            </w:r>
          </w:p>
        </w:tc>
        <w:tc>
          <w:tcPr>
            <w:tcW w:w="440" w:type="dxa"/>
            <w:vAlign w:val="bottom"/>
            <w:tcBorders>
              <w:top w:val="single" w:sz="8" w:color="E5E5E5"/>
            </w:tcBorders>
            <w:shd w:val="clear" w:color="auto" w:fill="E5E5E5"/>
          </w:tcPr>
          <w:p>
            <w:pPr>
              <w:spacing w:after="0"/>
              <w:rPr>
                <w:sz w:val="14"/>
                <w:szCs w:val="14"/>
                <w:color w:val="auto"/>
              </w:rPr>
            </w:pPr>
          </w:p>
        </w:tc>
        <w:tc>
          <w:tcPr>
            <w:tcW w:w="960" w:type="dxa"/>
            <w:vAlign w:val="bottom"/>
            <w:tcBorders>
              <w:top w:val="single" w:sz="8" w:color="auto"/>
            </w:tcBorders>
            <w:shd w:val="clear" w:color="auto" w:fill="E5E5E5"/>
          </w:tcPr>
          <w:p>
            <w:pPr>
              <w:ind w:left="680"/>
              <w:spacing w:after="0" w:line="170"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E5E5E5"/>
            </w:tcBorders>
            <w:shd w:val="clear" w:color="auto" w:fill="E5E5E5"/>
          </w:tcPr>
          <w:p>
            <w:pPr>
              <w:spacing w:after="0"/>
              <w:rPr>
                <w:sz w:val="14"/>
                <w:szCs w:val="14"/>
                <w:color w:val="auto"/>
              </w:rPr>
            </w:pPr>
          </w:p>
        </w:tc>
        <w:tc>
          <w:tcPr>
            <w:tcW w:w="220" w:type="dxa"/>
            <w:vAlign w:val="bottom"/>
            <w:tcBorders>
              <w:top w:val="single" w:sz="8" w:color="E5E5E5"/>
            </w:tcBorders>
            <w:shd w:val="clear" w:color="auto" w:fill="E5E5E5"/>
          </w:tcPr>
          <w:p>
            <w:pPr>
              <w:spacing w:after="0"/>
              <w:rPr>
                <w:sz w:val="14"/>
                <w:szCs w:val="14"/>
                <w:color w:val="auto"/>
              </w:rPr>
            </w:pPr>
          </w:p>
        </w:tc>
        <w:tc>
          <w:tcPr>
            <w:tcW w:w="880" w:type="dxa"/>
            <w:vAlign w:val="bottom"/>
            <w:tcBorders>
              <w:top w:val="single" w:sz="8" w:color="auto"/>
            </w:tcBorders>
            <w:shd w:val="clear" w:color="auto" w:fill="E5E5E5"/>
          </w:tcPr>
          <w:p>
            <w:pPr>
              <w:jc w:val="right"/>
              <w:ind w:right="24"/>
              <w:spacing w:after="0" w:line="170"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E5E5E5"/>
            </w:tcBorders>
            <w:shd w:val="clear" w:color="auto" w:fill="E5E5E5"/>
          </w:tcPr>
          <w:p>
            <w:pPr>
              <w:spacing w:after="0"/>
              <w:rPr>
                <w:sz w:val="14"/>
                <w:szCs w:val="14"/>
                <w:color w:val="auto"/>
              </w:rPr>
            </w:pPr>
          </w:p>
        </w:tc>
        <w:tc>
          <w:tcPr>
            <w:tcW w:w="1120" w:type="dxa"/>
            <w:vAlign w:val="bottom"/>
            <w:tcBorders>
              <w:top w:val="single" w:sz="8" w:color="auto"/>
            </w:tcBorders>
            <w:shd w:val="clear" w:color="auto" w:fill="E5E5E5"/>
          </w:tcPr>
          <w:p>
            <w:pPr>
              <w:jc w:val="right"/>
              <w:spacing w:after="0" w:line="170" w:lineRule="exact"/>
              <w:rPr>
                <w:sz w:val="20"/>
                <w:szCs w:val="20"/>
                <w:color w:val="auto"/>
              </w:rPr>
            </w:pPr>
            <w:r>
              <w:rPr>
                <w:rFonts w:ascii="Arial" w:cs="Arial" w:eastAsia="Arial" w:hAnsi="Arial"/>
                <w:sz w:val="18"/>
                <w:szCs w:val="18"/>
                <w:color w:val="auto"/>
              </w:rPr>
              <w:t>2,977</w:t>
            </w:r>
          </w:p>
        </w:tc>
        <w:tc>
          <w:tcPr>
            <w:tcW w:w="580" w:type="dxa"/>
            <w:vAlign w:val="bottom"/>
            <w:tcBorders>
              <w:top w:val="single" w:sz="8" w:color="E5E5E5"/>
            </w:tcBorders>
            <w:shd w:val="clear" w:color="auto" w:fill="E5E5E5"/>
          </w:tcPr>
          <w:p>
            <w:pPr>
              <w:jc w:val="right"/>
              <w:ind w:right="353"/>
              <w:spacing w:after="0"/>
              <w:rPr>
                <w:sz w:val="20"/>
                <w:szCs w:val="20"/>
                <w:color w:val="auto"/>
              </w:rPr>
            </w:pPr>
            <w:r>
              <w:rPr>
                <w:rFonts w:ascii="Arial" w:cs="Arial" w:eastAsia="Arial" w:hAnsi="Arial"/>
                <w:sz w:val="13"/>
                <w:szCs w:val="13"/>
                <w:color w:val="auto"/>
                <w:w w:val="87"/>
              </w:rPr>
              <w:t>(5)</w:t>
            </w:r>
          </w:p>
        </w:tc>
        <w:tc>
          <w:tcPr>
            <w:tcW w:w="1100" w:type="dxa"/>
            <w:vAlign w:val="bottom"/>
            <w:tcBorders>
              <w:top w:val="single" w:sz="8" w:color="auto"/>
            </w:tcBorders>
            <w:shd w:val="clear" w:color="auto" w:fill="E5E5E5"/>
          </w:tcPr>
          <w:p>
            <w:pPr>
              <w:ind w:left="440"/>
              <w:spacing w:after="0" w:line="170" w:lineRule="exact"/>
              <w:rPr>
                <w:sz w:val="20"/>
                <w:szCs w:val="20"/>
                <w:color w:val="auto"/>
              </w:rPr>
            </w:pPr>
            <w:r>
              <w:rPr>
                <w:rFonts w:ascii="Arial" w:cs="Arial" w:eastAsia="Arial" w:hAnsi="Arial"/>
                <w:sz w:val="18"/>
                <w:szCs w:val="18"/>
                <w:color w:val="auto"/>
                <w:w w:val="98"/>
              </w:rPr>
              <w:t>334,109</w:t>
            </w:r>
          </w:p>
        </w:tc>
        <w:tc>
          <w:tcPr>
            <w:tcW w:w="60" w:type="dxa"/>
            <w:vAlign w:val="bottom"/>
            <w:tcBorders>
              <w:top w:val="single" w:sz="8" w:color="E5E5E5"/>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10/27/2022</w:t>
            </w:r>
          </w:p>
        </w:tc>
        <w:tc>
          <w:tcPr>
            <w:tcW w:w="14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6"/>
                <w:szCs w:val="16"/>
                <w:color w:val="auto"/>
              </w:rPr>
              <w:t>20,841</w:t>
            </w:r>
            <w:r>
              <w:rPr>
                <w:rFonts w:ascii="Arial" w:cs="Arial" w:eastAsia="Arial" w:hAnsi="Arial"/>
                <w:sz w:val="23"/>
                <w:szCs w:val="23"/>
                <w:color w:val="auto"/>
                <w:vertAlign w:val="superscript"/>
              </w:rPr>
              <w:t>(6)</w:t>
            </w:r>
          </w:p>
        </w:tc>
        <w:tc>
          <w:tcPr>
            <w:tcW w:w="1520" w:type="dxa"/>
            <w:vAlign w:val="bottom"/>
            <w:gridSpan w:val="3"/>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2,338,985</w:t>
            </w:r>
          </w:p>
        </w:tc>
        <w:tc>
          <w:tcPr>
            <w:tcW w:w="1700" w:type="dxa"/>
            <w:vAlign w:val="bottom"/>
            <w:gridSpan w:val="2"/>
            <w:shd w:val="clear" w:color="auto" w:fill="E5E5E5"/>
          </w:tcPr>
          <w:p>
            <w:pPr>
              <w:jc w:val="right"/>
              <w:ind w:right="613"/>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ind w:left="8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0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40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10/28/2021</w:t>
            </w:r>
          </w:p>
        </w:tc>
        <w:tc>
          <w:tcPr>
            <w:tcW w:w="14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6"/>
                <w:szCs w:val="16"/>
                <w:color w:val="auto"/>
              </w:rPr>
              <w:t>6,589</w:t>
            </w:r>
            <w:r>
              <w:rPr>
                <w:rFonts w:ascii="Arial" w:cs="Arial" w:eastAsia="Arial" w:hAnsi="Arial"/>
                <w:sz w:val="23"/>
                <w:szCs w:val="23"/>
                <w:color w:val="auto"/>
                <w:vertAlign w:val="superscript"/>
              </w:rPr>
              <w:t>(7)</w:t>
            </w:r>
          </w:p>
        </w:tc>
        <w:tc>
          <w:tcPr>
            <w:tcW w:w="1520" w:type="dxa"/>
            <w:vAlign w:val="bottom"/>
            <w:gridSpan w:val="3"/>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739,483</w:t>
            </w:r>
          </w:p>
        </w:tc>
        <w:tc>
          <w:tcPr>
            <w:tcW w:w="1700" w:type="dxa"/>
            <w:vAlign w:val="bottom"/>
            <w:gridSpan w:val="2"/>
            <w:shd w:val="clear" w:color="auto" w:fill="E5E5E5"/>
          </w:tcPr>
          <w:p>
            <w:pPr>
              <w:jc w:val="right"/>
              <w:ind w:right="353"/>
              <w:spacing w:after="0" w:line="202" w:lineRule="exact"/>
              <w:rPr>
                <w:sz w:val="20"/>
                <w:szCs w:val="20"/>
                <w:color w:val="auto"/>
              </w:rPr>
            </w:pPr>
            <w:r>
              <w:rPr>
                <w:rFonts w:ascii="Arial" w:cs="Arial" w:eastAsia="Arial" w:hAnsi="Arial"/>
                <w:sz w:val="16"/>
                <w:szCs w:val="16"/>
                <w:color w:val="auto"/>
              </w:rPr>
              <w:t>3,638</w:t>
            </w:r>
            <w:r>
              <w:rPr>
                <w:rFonts w:ascii="Arial" w:cs="Arial" w:eastAsia="Arial" w:hAnsi="Arial"/>
                <w:sz w:val="23"/>
                <w:szCs w:val="23"/>
                <w:color w:val="auto"/>
                <w:vertAlign w:val="superscript"/>
              </w:rPr>
              <w:t>(8)</w:t>
            </w:r>
          </w:p>
        </w:tc>
        <w:tc>
          <w:tcPr>
            <w:tcW w:w="1160" w:type="dxa"/>
            <w:vAlign w:val="bottom"/>
            <w:gridSpan w:val="2"/>
            <w:shd w:val="clear" w:color="auto" w:fill="E5E5E5"/>
          </w:tcPr>
          <w:p>
            <w:pPr>
              <w:ind w:left="440"/>
              <w:spacing w:after="0" w:line="202" w:lineRule="exact"/>
              <w:rPr>
                <w:sz w:val="20"/>
                <w:szCs w:val="20"/>
                <w:color w:val="auto"/>
              </w:rPr>
            </w:pPr>
            <w:r>
              <w:rPr>
                <w:rFonts w:ascii="Arial" w:cs="Arial" w:eastAsia="Arial" w:hAnsi="Arial"/>
                <w:sz w:val="18"/>
                <w:szCs w:val="18"/>
                <w:color w:val="auto"/>
              </w:rPr>
              <w:t>408,293</w:t>
            </w:r>
          </w:p>
        </w:tc>
        <w:tc>
          <w:tcPr>
            <w:tcW w:w="0" w:type="dxa"/>
            <w:vAlign w:val="bottom"/>
          </w:tcPr>
          <w:p>
            <w:pPr>
              <w:spacing w:after="0"/>
              <w:rPr>
                <w:sz w:val="1"/>
                <w:szCs w:val="1"/>
                <w:color w:val="auto"/>
              </w:rPr>
            </w:pPr>
          </w:p>
        </w:tc>
      </w:tr>
      <w:tr>
        <w:trPr>
          <w:trHeight w:val="221"/>
        </w:trPr>
        <w:tc>
          <w:tcPr>
            <w:tcW w:w="400" w:type="dxa"/>
            <w:vAlign w:val="bottom"/>
            <w:shd w:val="clear" w:color="auto" w:fill="E5E5E5"/>
          </w:tcPr>
          <w:p>
            <w:pPr>
              <w:spacing w:after="0"/>
              <w:rPr>
                <w:sz w:val="19"/>
                <w:szCs w:val="19"/>
                <w:color w:val="auto"/>
              </w:rPr>
            </w:pPr>
          </w:p>
        </w:tc>
        <w:tc>
          <w:tcPr>
            <w:tcW w:w="306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400" w:type="dxa"/>
            <w:vAlign w:val="bottom"/>
            <w:gridSpan w:val="2"/>
            <w:shd w:val="clear" w:color="auto" w:fill="E5E5E5"/>
          </w:tcPr>
          <w:p>
            <w:pPr>
              <w:jc w:val="right"/>
              <w:ind w:right="440"/>
              <w:spacing w:after="0"/>
              <w:rPr>
                <w:sz w:val="20"/>
                <w:szCs w:val="20"/>
                <w:color w:val="auto"/>
              </w:rPr>
            </w:pPr>
            <w:r>
              <w:rPr>
                <w:rFonts w:ascii="Arial" w:cs="Arial" w:eastAsia="Arial" w:hAnsi="Arial"/>
                <w:sz w:val="18"/>
                <w:szCs w:val="18"/>
                <w:color w:val="auto"/>
              </w:rPr>
              <w:t>8/3/2021</w:t>
            </w:r>
          </w:p>
        </w:tc>
        <w:tc>
          <w:tcPr>
            <w:tcW w:w="1400" w:type="dxa"/>
            <w:vAlign w:val="bottom"/>
            <w:gridSpan w:val="2"/>
            <w:shd w:val="clear" w:color="auto" w:fill="E5E5E5"/>
          </w:tcPr>
          <w:p>
            <w:pPr>
              <w:jc w:val="right"/>
              <w:ind w:right="200"/>
              <w:spacing w:after="0" w:line="221" w:lineRule="exact"/>
              <w:rPr>
                <w:sz w:val="20"/>
                <w:szCs w:val="20"/>
                <w:color w:val="auto"/>
              </w:rPr>
            </w:pPr>
            <w:r>
              <w:rPr>
                <w:rFonts w:ascii="Arial" w:cs="Arial" w:eastAsia="Arial" w:hAnsi="Arial"/>
                <w:sz w:val="17"/>
                <w:szCs w:val="17"/>
                <w:color w:val="auto"/>
              </w:rPr>
              <w:t>18,260</w:t>
            </w:r>
            <w:r>
              <w:rPr>
                <w:rFonts w:ascii="Arial" w:cs="Arial" w:eastAsia="Arial" w:hAnsi="Arial"/>
                <w:sz w:val="25"/>
                <w:szCs w:val="25"/>
                <w:color w:val="auto"/>
                <w:vertAlign w:val="superscript"/>
              </w:rPr>
              <w:t>(15)</w:t>
            </w:r>
          </w:p>
        </w:tc>
        <w:tc>
          <w:tcPr>
            <w:tcW w:w="1520" w:type="dxa"/>
            <w:vAlign w:val="bottom"/>
            <w:gridSpan w:val="3"/>
            <w:shd w:val="clear" w:color="auto" w:fill="E5E5E5"/>
          </w:tcPr>
          <w:p>
            <w:pPr>
              <w:jc w:val="right"/>
              <w:ind w:right="420"/>
              <w:spacing w:after="0"/>
              <w:rPr>
                <w:sz w:val="20"/>
                <w:szCs w:val="20"/>
                <w:color w:val="auto"/>
              </w:rPr>
            </w:pPr>
            <w:r>
              <w:rPr>
                <w:rFonts w:ascii="Arial" w:cs="Arial" w:eastAsia="Arial" w:hAnsi="Arial"/>
                <w:sz w:val="18"/>
                <w:szCs w:val="18"/>
                <w:color w:val="auto"/>
              </w:rPr>
              <w:t>2,049,320</w:t>
            </w:r>
          </w:p>
        </w:tc>
        <w:tc>
          <w:tcPr>
            <w:tcW w:w="1700" w:type="dxa"/>
            <w:vAlign w:val="bottom"/>
            <w:gridSpan w:val="2"/>
            <w:shd w:val="clear" w:color="auto" w:fill="E5E5E5"/>
          </w:tcPr>
          <w:p>
            <w:pPr>
              <w:jc w:val="right"/>
              <w:ind w:right="61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460" w:type="dxa"/>
            <w:vAlign w:val="bottom"/>
            <w:gridSpan w:val="2"/>
          </w:tcPr>
          <w:p>
            <w:pPr>
              <w:spacing w:after="0" w:line="183" w:lineRule="exact"/>
              <w:rPr>
                <w:sz w:val="20"/>
                <w:szCs w:val="20"/>
                <w:color w:val="auto"/>
              </w:rPr>
            </w:pPr>
            <w:r>
              <w:rPr>
                <w:rFonts w:ascii="Arial" w:cs="Arial" w:eastAsia="Arial" w:hAnsi="Arial"/>
                <w:sz w:val="18"/>
                <w:szCs w:val="18"/>
                <w:color w:val="auto"/>
              </w:rPr>
              <w:t>Bruce K. Posey</w:t>
            </w:r>
          </w:p>
        </w:tc>
        <w:tc>
          <w:tcPr>
            <w:tcW w:w="380" w:type="dxa"/>
            <w:vAlign w:val="bottom"/>
          </w:tcPr>
          <w:p>
            <w:pPr>
              <w:spacing w:after="0"/>
              <w:rPr>
                <w:sz w:val="15"/>
                <w:szCs w:val="15"/>
                <w:color w:val="auto"/>
              </w:rPr>
            </w:pPr>
          </w:p>
        </w:tc>
        <w:tc>
          <w:tcPr>
            <w:tcW w:w="1400" w:type="dxa"/>
            <w:vAlign w:val="bottom"/>
            <w:gridSpan w:val="2"/>
          </w:tcPr>
          <w:p>
            <w:pPr>
              <w:jc w:val="right"/>
              <w:ind w:right="440"/>
              <w:spacing w:after="0" w:line="183" w:lineRule="exact"/>
              <w:rPr>
                <w:sz w:val="20"/>
                <w:szCs w:val="20"/>
                <w:color w:val="auto"/>
              </w:rPr>
            </w:pPr>
            <w:r>
              <w:rPr>
                <w:rFonts w:ascii="Arial" w:cs="Arial" w:eastAsia="Arial" w:hAnsi="Arial"/>
                <w:sz w:val="18"/>
                <w:szCs w:val="18"/>
                <w:color w:val="auto"/>
              </w:rPr>
              <w:t>10/27/2022</w:t>
            </w:r>
          </w:p>
        </w:tc>
        <w:tc>
          <w:tcPr>
            <w:tcW w:w="1400" w:type="dxa"/>
            <w:vAlign w:val="bottom"/>
            <w:gridSpan w:val="2"/>
          </w:tcPr>
          <w:p>
            <w:pPr>
              <w:ind w:left="680"/>
              <w:spacing w:after="0" w:line="18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300" w:type="dxa"/>
            <w:vAlign w:val="bottom"/>
            <w:gridSpan w:val="2"/>
          </w:tcPr>
          <w:p>
            <w:pPr>
              <w:jc w:val="right"/>
              <w:ind w:right="520"/>
              <w:spacing w:after="0" w:line="183"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53"/>
              <w:spacing w:after="0" w:line="184" w:lineRule="exact"/>
              <w:rPr>
                <w:sz w:val="20"/>
                <w:szCs w:val="20"/>
                <w:color w:val="auto"/>
              </w:rPr>
            </w:pPr>
            <w:r>
              <w:rPr>
                <w:rFonts w:ascii="Arial" w:cs="Arial" w:eastAsia="Arial" w:hAnsi="Arial"/>
                <w:sz w:val="15"/>
                <w:szCs w:val="15"/>
                <w:color w:val="auto"/>
              </w:rPr>
              <w:t>2,242</w:t>
            </w:r>
            <w:r>
              <w:rPr>
                <w:rFonts w:ascii="Arial" w:cs="Arial" w:eastAsia="Arial" w:hAnsi="Arial"/>
                <w:sz w:val="21"/>
                <w:szCs w:val="21"/>
                <w:color w:val="auto"/>
                <w:vertAlign w:val="superscript"/>
              </w:rPr>
              <w:t>(5)</w:t>
            </w:r>
          </w:p>
        </w:tc>
        <w:tc>
          <w:tcPr>
            <w:tcW w:w="1160" w:type="dxa"/>
            <w:vAlign w:val="bottom"/>
            <w:gridSpan w:val="2"/>
          </w:tcPr>
          <w:p>
            <w:pPr>
              <w:ind w:left="440"/>
              <w:spacing w:after="0" w:line="183" w:lineRule="exact"/>
              <w:rPr>
                <w:sz w:val="20"/>
                <w:szCs w:val="20"/>
                <w:color w:val="auto"/>
              </w:rPr>
            </w:pPr>
            <w:r>
              <w:rPr>
                <w:rFonts w:ascii="Arial" w:cs="Arial" w:eastAsia="Arial" w:hAnsi="Arial"/>
                <w:sz w:val="18"/>
                <w:szCs w:val="18"/>
                <w:color w:val="auto"/>
              </w:rPr>
              <w:t>251,620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10/27/2022</w:t>
            </w: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6"/>
                <w:szCs w:val="16"/>
                <w:color w:val="auto"/>
              </w:rPr>
              <w:t>15,692</w:t>
            </w:r>
            <w:r>
              <w:rPr>
                <w:rFonts w:ascii="Arial" w:cs="Arial" w:eastAsia="Arial" w:hAnsi="Arial"/>
                <w:sz w:val="23"/>
                <w:szCs w:val="23"/>
                <w:color w:val="auto"/>
                <w:vertAlign w:val="superscript"/>
              </w:rPr>
              <w:t>(6)</w:t>
            </w:r>
          </w:p>
        </w:tc>
        <w:tc>
          <w:tcPr>
            <w:tcW w:w="15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1,761,113</w:t>
            </w:r>
          </w:p>
        </w:tc>
        <w:tc>
          <w:tcPr>
            <w:tcW w:w="1700" w:type="dxa"/>
            <w:vAlign w:val="bottom"/>
            <w:gridSpan w:val="2"/>
          </w:tcPr>
          <w:p>
            <w:pPr>
              <w:jc w:val="right"/>
              <w:ind w:right="613"/>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10/28/2021</w:t>
            </w: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6"/>
                <w:szCs w:val="16"/>
                <w:color w:val="auto"/>
              </w:rPr>
              <w:t>5,377</w:t>
            </w:r>
            <w:r>
              <w:rPr>
                <w:rFonts w:ascii="Arial" w:cs="Arial" w:eastAsia="Arial" w:hAnsi="Arial"/>
                <w:sz w:val="23"/>
                <w:szCs w:val="23"/>
                <w:color w:val="auto"/>
                <w:vertAlign w:val="superscript"/>
              </w:rPr>
              <w:t>(7)</w:t>
            </w:r>
          </w:p>
        </w:tc>
        <w:tc>
          <w:tcPr>
            <w:tcW w:w="15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603,461</w:t>
            </w:r>
          </w:p>
        </w:tc>
        <w:tc>
          <w:tcPr>
            <w:tcW w:w="1700" w:type="dxa"/>
            <w:vAlign w:val="bottom"/>
            <w:gridSpan w:val="2"/>
          </w:tcPr>
          <w:p>
            <w:pPr>
              <w:jc w:val="right"/>
              <w:ind w:right="353"/>
              <w:spacing w:after="0" w:line="202" w:lineRule="exact"/>
              <w:rPr>
                <w:sz w:val="20"/>
                <w:szCs w:val="20"/>
                <w:color w:val="auto"/>
              </w:rPr>
            </w:pPr>
            <w:r>
              <w:rPr>
                <w:rFonts w:ascii="Arial" w:cs="Arial" w:eastAsia="Arial" w:hAnsi="Arial"/>
                <w:sz w:val="16"/>
                <w:szCs w:val="16"/>
                <w:color w:val="auto"/>
              </w:rPr>
              <w:t>2,968</w:t>
            </w:r>
            <w:r>
              <w:rPr>
                <w:rFonts w:ascii="Arial" w:cs="Arial" w:eastAsia="Arial" w:hAnsi="Arial"/>
                <w:sz w:val="23"/>
                <w:szCs w:val="23"/>
                <w:color w:val="auto"/>
                <w:vertAlign w:val="superscript"/>
              </w:rPr>
              <w:t>(8)</w:t>
            </w:r>
          </w:p>
        </w:tc>
        <w:tc>
          <w:tcPr>
            <w:tcW w:w="116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333,099</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10/28/2021</w:t>
            </w: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6"/>
                <w:szCs w:val="16"/>
                <w:color w:val="auto"/>
              </w:rPr>
              <w:t>15,585</w:t>
            </w:r>
            <w:r>
              <w:rPr>
                <w:rFonts w:ascii="Arial" w:cs="Arial" w:eastAsia="Arial" w:hAnsi="Arial"/>
                <w:sz w:val="23"/>
                <w:szCs w:val="23"/>
                <w:color w:val="auto"/>
                <w:vertAlign w:val="superscript"/>
              </w:rPr>
              <w:t>(9)</w:t>
            </w:r>
          </w:p>
        </w:tc>
        <w:tc>
          <w:tcPr>
            <w:tcW w:w="15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1,749,105</w:t>
            </w:r>
          </w:p>
        </w:tc>
        <w:tc>
          <w:tcPr>
            <w:tcW w:w="1700" w:type="dxa"/>
            <w:vAlign w:val="bottom"/>
            <w:gridSpan w:val="2"/>
          </w:tcPr>
          <w:p>
            <w:pPr>
              <w:jc w:val="right"/>
              <w:ind w:right="613"/>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10/27/2020</w:t>
            </w: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6"/>
                <w:szCs w:val="16"/>
                <w:color w:val="auto"/>
              </w:rPr>
              <w:t>16,216</w:t>
            </w:r>
            <w:r>
              <w:rPr>
                <w:rFonts w:ascii="Arial" w:cs="Arial" w:eastAsia="Arial" w:hAnsi="Arial"/>
                <w:sz w:val="23"/>
                <w:szCs w:val="23"/>
                <w:color w:val="auto"/>
                <w:vertAlign w:val="superscript"/>
              </w:rPr>
              <w:t>(12)</w:t>
            </w:r>
          </w:p>
        </w:tc>
        <w:tc>
          <w:tcPr>
            <w:tcW w:w="15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1,819,922</w:t>
            </w:r>
          </w:p>
        </w:tc>
        <w:tc>
          <w:tcPr>
            <w:tcW w:w="1700" w:type="dxa"/>
            <w:vAlign w:val="bottom"/>
            <w:gridSpan w:val="2"/>
          </w:tcPr>
          <w:p>
            <w:pPr>
              <w:jc w:val="right"/>
              <w:ind w:right="613"/>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6"/>
        </w:trPr>
        <w:tc>
          <w:tcPr>
            <w:tcW w:w="4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80" w:type="dxa"/>
            <w:vAlign w:val="bottom"/>
            <w:gridSpan w:val="3"/>
          </w:tcPr>
          <w:p>
            <w:pPr>
              <w:jc w:val="right"/>
              <w:ind w:right="440"/>
              <w:spacing w:after="0"/>
              <w:rPr>
                <w:sz w:val="20"/>
                <w:szCs w:val="20"/>
                <w:color w:val="auto"/>
              </w:rPr>
            </w:pPr>
            <w:r>
              <w:rPr>
                <w:rFonts w:ascii="Arial" w:cs="Arial" w:eastAsia="Arial" w:hAnsi="Arial"/>
                <w:sz w:val="18"/>
                <w:szCs w:val="18"/>
                <w:color w:val="auto"/>
              </w:rPr>
              <w:t>10/24/2019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8,716</w:t>
            </w:r>
            <w:r>
              <w:rPr>
                <w:rFonts w:ascii="Arial" w:cs="Arial" w:eastAsia="Arial" w:hAnsi="Arial"/>
                <w:sz w:val="26"/>
                <w:szCs w:val="26"/>
                <w:color w:val="auto"/>
                <w:vertAlign w:val="superscript"/>
              </w:rPr>
              <w:t>(13)</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978,197</w:t>
            </w:r>
          </w:p>
        </w:tc>
        <w:tc>
          <w:tcPr>
            <w:tcW w:w="1700" w:type="dxa"/>
            <w:vAlign w:val="bottom"/>
            <w:gridSpan w:val="2"/>
          </w:tcPr>
          <w:p>
            <w:pPr>
              <w:jc w:val="right"/>
              <w:ind w:right="613"/>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 w:lineRule="exact"/>
        <w:rPr>
          <w:sz w:val="20"/>
          <w:szCs w:val="20"/>
          <w:color w:val="auto"/>
        </w:rPr>
      </w:pPr>
    </w:p>
    <w:p>
      <w:pPr>
        <w:ind w:left="424" w:hanging="424"/>
        <w:spacing w:after="0"/>
        <w:tabs>
          <w:tab w:leader="none" w:pos="4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stock awards referenced in this table were granted under our 2012 Equity Incentive Plan.</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Stock awards in this column consist of unvested time-based RSUs.</w:t>
      </w:r>
    </w:p>
    <w:p>
      <w:pPr>
        <w:spacing w:after="0" w:line="126" w:lineRule="exact"/>
        <w:rPr>
          <w:rFonts w:ascii="Arial" w:cs="Arial" w:eastAsia="Arial" w:hAnsi="Arial"/>
          <w:sz w:val="16"/>
          <w:szCs w:val="16"/>
          <w:color w:val="auto"/>
        </w:rPr>
      </w:pPr>
    </w:p>
    <w:p>
      <w:pPr>
        <w:ind w:left="424" w:right="280" w:hanging="424"/>
        <w:spacing w:after="0" w:line="286" w:lineRule="auto"/>
        <w:tabs>
          <w:tab w:leader="none" w:pos="4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Values reported were computed by multiplying (i) $112.23, the closing price on the Nasdaq Stock Market of our common stock on December 31, 2022, the last business day of fiscal 2022, by (ii) the number of shares or units of stock.</w:t>
      </w:r>
    </w:p>
    <w:p>
      <w:pPr>
        <w:spacing w:after="0" w:line="61" w:lineRule="exact"/>
        <w:rPr>
          <w:rFonts w:ascii="Arial" w:cs="Arial" w:eastAsia="Arial" w:hAnsi="Arial"/>
          <w:sz w:val="16"/>
          <w:szCs w:val="16"/>
          <w:color w:val="auto"/>
        </w:rPr>
      </w:pPr>
    </w:p>
    <w:p>
      <w:pPr>
        <w:ind w:left="424" w:hanging="424"/>
        <w:spacing w:after="0"/>
        <w:tabs>
          <w:tab w:leader="none" w:pos="4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Stock awards in this column consist of unvested PRSUs. Amounts reported are based on target performance measures.</w:t>
      </w:r>
    </w:p>
    <w:p>
      <w:pPr>
        <w:spacing w:after="0" w:line="126" w:lineRule="exact"/>
        <w:rPr>
          <w:rFonts w:ascii="Arial" w:cs="Arial" w:eastAsia="Arial" w:hAnsi="Arial"/>
          <w:sz w:val="16"/>
          <w:szCs w:val="16"/>
          <w:color w:val="auto"/>
        </w:rPr>
      </w:pPr>
    </w:p>
    <w:p>
      <w:pPr>
        <w:ind w:left="424" w:right="140" w:hanging="424"/>
        <w:spacing w:after="0" w:line="253" w:lineRule="auto"/>
        <w:tabs>
          <w:tab w:leader="none" w:pos="4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discussed above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the number of shares subject to this PRSU award represents the first of three tranches of a multi-year PRSU award with one-year performance periods covering the calendar years 2023, 2024, and 2025,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in each of the first two years of the performance period, with cumulative achievement over 100% to be vested and released at the end of the third year of the performance period. Because the performance metrics for the second and third tranches of the PRSUs have not been established, such awards are not considered granted or outstanding under FASB ASC Topic 718 and are not included in this table.</w:t>
      </w:r>
    </w:p>
    <w:p>
      <w:pPr>
        <w:spacing w:after="0" w:line="86" w:lineRule="exact"/>
        <w:rPr>
          <w:rFonts w:ascii="Arial" w:cs="Arial" w:eastAsia="Arial" w:hAnsi="Arial"/>
          <w:sz w:val="16"/>
          <w:szCs w:val="16"/>
          <w:color w:val="auto"/>
        </w:rPr>
      </w:pPr>
    </w:p>
    <w:p>
      <w:pPr>
        <w:ind w:left="424" w:hanging="424"/>
        <w:spacing w:after="0"/>
        <w:tabs>
          <w:tab w:leader="none" w:pos="4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RSUs vest quarterly in equal installments over four years, with the first vesting date on February 1, 2023.</w:t>
      </w:r>
    </w:p>
    <w:p>
      <w:pPr>
        <w:spacing w:after="0" w:line="126" w:lineRule="exact"/>
        <w:rPr>
          <w:rFonts w:ascii="Arial" w:cs="Arial" w:eastAsia="Arial" w:hAnsi="Arial"/>
          <w:sz w:val="16"/>
          <w:szCs w:val="16"/>
          <w:color w:val="auto"/>
        </w:rPr>
      </w:pPr>
    </w:p>
    <w:p>
      <w:pPr>
        <w:ind w:left="424" w:right="80" w:hanging="424"/>
        <w:spacing w:after="0" w:line="250" w:lineRule="auto"/>
        <w:tabs>
          <w:tab w:leader="none" w:pos="4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discussed above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the number of shares subject to this PRSU award represents the first of three tranches of a multi-year PRSU award with one-year performance periods covering the calendar years 2022, 2023, and 2024,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in each of the first two years of the performance period, with cumulative achievement over 100% to be vested and released at the end of the third year of the performance period. A 181.1% achievement rate was applied to arrive the unvested shares based on the actual result of annual revenue growth rate and the adjusted EBITDA margin for calendar year 2022. Among these unvested shares, 100% of the 181.1% were vested when the performance was certified in February 2023 and the 81.1% exceeding the 100% target will be vested and released when the 3rd year performance is certified, subject to the applicable named executive officer’s continuous service with the Company. Because the performance metrics for the third tranche of the PRSUs have not been established, such awards are not considered granted or outstanding under FASB ASC Topic 718 and are not included in this table.</w:t>
      </w:r>
    </w:p>
    <w:p>
      <w:pPr>
        <w:spacing w:after="0" w:line="92" w:lineRule="exact"/>
        <w:rPr>
          <w:rFonts w:ascii="Arial" w:cs="Arial" w:eastAsia="Arial" w:hAnsi="Arial"/>
          <w:sz w:val="16"/>
          <w:szCs w:val="16"/>
          <w:color w:val="auto"/>
        </w:rPr>
      </w:pPr>
    </w:p>
    <w:p>
      <w:pPr>
        <w:ind w:left="424" w:right="440" w:hanging="424"/>
        <w:spacing w:after="0" w:line="266" w:lineRule="auto"/>
        <w:tabs>
          <w:tab w:leader="none" w:pos="4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discussed above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the number of shares subject to this PRSU award represents the second of three tranches of a multi-year PRSU award with one-year performance periods covering the calendar years 2022, 2023, and 2024, respectively. Subject to continued</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4"/>
          </w:cols>
          <w:pgMar w:left="436" w:top="236" w:right="439" w:bottom="1440" w:gutter="0" w:footer="0" w:header="0"/>
        </w:sectPr>
      </w:pPr>
    </w:p>
    <w:bookmarkStart w:id="56" w:name="page57"/>
    <w:bookmarkEnd w:id="56"/>
    <w:p>
      <w:pPr>
        <w:ind w:left="424" w:right="2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service, each tranche will become eligible to vest based on the annual growth rate of the Company’s revenues and the Company’s adjusted EBITDA margin for the applicable performance period, except that vesting and release of the PRSUs is capped at 100% of target performance in each of the first two years of the performance period, with cumulative achievement over 100% to be vested and released at the end of the third year of the performance period. This number of shares is based upon the probable outcome of performance conditions applicable to the second tranche.</w:t>
      </w:r>
    </w:p>
    <w:p>
      <w:pPr>
        <w:spacing w:after="0" w:line="83" w:lineRule="exact"/>
        <w:rPr>
          <w:sz w:val="20"/>
          <w:szCs w:val="20"/>
          <w:color w:val="auto"/>
        </w:rPr>
      </w:pPr>
    </w:p>
    <w:p>
      <w:pPr>
        <w:ind w:left="424" w:hanging="424"/>
        <w:spacing w:after="0"/>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RSUs vest quarterly in equal installments over four years, with the first vesting date on February 1, 2022.</w:t>
      </w:r>
    </w:p>
    <w:p>
      <w:pPr>
        <w:spacing w:after="0" w:line="126" w:lineRule="exact"/>
        <w:rPr>
          <w:rFonts w:ascii="Arial" w:cs="Arial" w:eastAsia="Arial" w:hAnsi="Arial"/>
          <w:sz w:val="16"/>
          <w:szCs w:val="16"/>
          <w:color w:val="auto"/>
        </w:rPr>
      </w:pPr>
    </w:p>
    <w:p>
      <w:pPr>
        <w:ind w:left="424" w:right="20" w:hanging="424"/>
        <w:spacing w:after="0" w:line="266" w:lineRule="auto"/>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 to continued service through the date that performance is certified, the number of shares that will vest under this PRSU award will vary from 0% to 200% of target based on the compound annual growth rate of the Company’s revenues for a three-year period from January 2021 through December 2023 and the compound annual growth rate of free cash flow per share for the same three-year period.</w:t>
      </w:r>
    </w:p>
    <w:p>
      <w:pPr>
        <w:spacing w:after="0" w:line="76" w:lineRule="exact"/>
        <w:rPr>
          <w:rFonts w:ascii="Arial" w:cs="Arial" w:eastAsia="Arial" w:hAnsi="Arial"/>
          <w:sz w:val="16"/>
          <w:szCs w:val="16"/>
          <w:color w:val="auto"/>
        </w:rPr>
      </w:pPr>
    </w:p>
    <w:p>
      <w:pPr>
        <w:ind w:left="424" w:hanging="424"/>
        <w:spacing w:after="0"/>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RSUs vest quarterly in equal installments over four years, with the first vesting date on August 1, 2021.</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RSUs vest quarterly in equal installments over four years, with the first vesting date on February 1, 2021.</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RSUs vest quarterly in equal installments over four years, with the first vesting date on February 1, 2020.</w:t>
      </w:r>
    </w:p>
    <w:p>
      <w:pPr>
        <w:spacing w:after="0" w:line="126" w:lineRule="exact"/>
        <w:rPr>
          <w:rFonts w:ascii="Arial" w:cs="Arial" w:eastAsia="Arial" w:hAnsi="Arial"/>
          <w:sz w:val="16"/>
          <w:szCs w:val="16"/>
          <w:color w:val="auto"/>
        </w:rPr>
      </w:pPr>
    </w:p>
    <w:p>
      <w:pPr>
        <w:ind w:left="424" w:hanging="424"/>
        <w:spacing w:after="0"/>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RSUs vest quarterly in equal installments over four years, with the first vesting date on October 1, 2020.</w:t>
      </w:r>
    </w:p>
    <w:p>
      <w:pPr>
        <w:spacing w:after="0" w:line="126" w:lineRule="exact"/>
        <w:rPr>
          <w:rFonts w:ascii="Arial" w:cs="Arial" w:eastAsia="Arial" w:hAnsi="Arial"/>
          <w:sz w:val="16"/>
          <w:szCs w:val="16"/>
          <w:color w:val="auto"/>
        </w:rPr>
      </w:pPr>
    </w:p>
    <w:p>
      <w:pPr>
        <w:ind w:left="424" w:right="340" w:hanging="424"/>
        <w:spacing w:after="0" w:line="286" w:lineRule="auto"/>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RSUs vest over four years, with 25% of the RSUs vesting on June 1, 2022, and the remaining RSUs vesting quarterly in equal installments thereafter.</w:t>
      </w:r>
    </w:p>
    <w:p>
      <w:pPr>
        <w:spacing w:after="0" w:line="25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Option Exercises and Stock Vested in 2022 Table</w:t>
      </w:r>
    </w:p>
    <w:p>
      <w:pPr>
        <w:spacing w:after="0" w:line="104" w:lineRule="exact"/>
        <w:rPr>
          <w:sz w:val="20"/>
          <w:szCs w:val="20"/>
          <w:color w:val="auto"/>
        </w:rPr>
      </w:pPr>
    </w:p>
    <w:p>
      <w:pPr>
        <w:ind w:left="4" w:right="60" w:firstLine="440"/>
        <w:spacing w:after="0" w:line="271" w:lineRule="auto"/>
        <w:rPr>
          <w:sz w:val="20"/>
          <w:szCs w:val="20"/>
          <w:color w:val="auto"/>
        </w:rPr>
      </w:pPr>
      <w:r>
        <w:rPr>
          <w:rFonts w:ascii="Arial" w:cs="Arial" w:eastAsia="Arial" w:hAnsi="Arial"/>
          <w:sz w:val="18"/>
          <w:szCs w:val="18"/>
          <w:color w:val="auto"/>
        </w:rPr>
        <w:t>The following table sets forth the number of shares of common stock acquired during 2022 by our named executive officers upon the exercise of stock options and the vesting of restricted stock unit awards and the value realized upon such exercise or vesting.</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Option Awards</w:t>
            </w:r>
          </w:p>
        </w:tc>
        <w:tc>
          <w:tcPr>
            <w:tcW w:w="2120" w:type="dxa"/>
            <w:vAlign w:val="bottom"/>
            <w:gridSpan w:val="4"/>
          </w:tcPr>
          <w:p>
            <w:pPr>
              <w:ind w:left="5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FF0C07"/>
            </w:tcBorders>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Number of</w:t>
            </w:r>
          </w:p>
        </w:tc>
        <w:tc>
          <w:tcPr>
            <w:tcW w:w="880" w:type="dxa"/>
            <w:vAlign w:val="bottom"/>
            <w:tcBorders>
              <w:top w:val="single" w:sz="8" w:color="FF0C07"/>
            </w:tcBorders>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top w:val="single" w:sz="8" w:color="FF0C07"/>
            </w:tcBorders>
          </w:tcPr>
          <w:p>
            <w:pPr>
              <w:spacing w:after="0"/>
              <w:rPr>
                <w:sz w:val="13"/>
                <w:szCs w:val="13"/>
                <w:color w:val="auto"/>
              </w:rPr>
            </w:pPr>
          </w:p>
        </w:tc>
        <w:tc>
          <w:tcPr>
            <w:tcW w:w="280" w:type="dxa"/>
            <w:vAlign w:val="bottom"/>
            <w:tcBorders>
              <w:top w:val="single" w:sz="8" w:color="FF0C07"/>
            </w:tcBorders>
          </w:tcPr>
          <w:p>
            <w:pPr>
              <w:spacing w:after="0"/>
              <w:rPr>
                <w:sz w:val="13"/>
                <w:szCs w:val="13"/>
                <w:color w:val="auto"/>
              </w:rPr>
            </w:pPr>
          </w:p>
        </w:tc>
        <w:tc>
          <w:tcPr>
            <w:tcW w:w="900" w:type="dxa"/>
            <w:vAlign w:val="bottom"/>
            <w:tcBorders>
              <w:top w:val="single" w:sz="8" w:color="FF0C07"/>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Acquired on</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Realized on</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8"/>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980" w:type="dxa"/>
            <w:vAlign w:val="bottom"/>
            <w:gridSpan w:val="2"/>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Exercise</w:t>
            </w:r>
          </w:p>
        </w:tc>
        <w:tc>
          <w:tcPr>
            <w:tcW w:w="11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Exercise</w:t>
            </w: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Acquired on</w:t>
            </w:r>
          </w:p>
        </w:tc>
        <w:tc>
          <w:tcPr>
            <w:tcW w:w="9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rPr>
              <w:t>Realized on</w:t>
            </w:r>
          </w:p>
        </w:tc>
        <w:tc>
          <w:tcPr>
            <w:tcW w:w="0" w:type="dxa"/>
            <w:vAlign w:val="bottom"/>
          </w:tcPr>
          <w:p>
            <w:pPr>
              <w:spacing w:after="0"/>
              <w:rPr>
                <w:sz w:val="1"/>
                <w:szCs w:val="1"/>
                <w:color w:val="auto"/>
              </w:rPr>
            </w:pPr>
          </w:p>
        </w:tc>
      </w:tr>
      <w:tr>
        <w:trPr>
          <w:trHeight w:val="182"/>
        </w:trPr>
        <w:tc>
          <w:tcPr>
            <w:tcW w:w="400" w:type="dxa"/>
            <w:vAlign w:val="bottom"/>
            <w:tcBorders>
              <w:bottom w:val="single" w:sz="8" w:color="FF0C07"/>
            </w:tcBorders>
            <w:vMerge w:val="continue"/>
          </w:tcPr>
          <w:p>
            <w:pPr>
              <w:spacing w:after="0"/>
              <w:rPr>
                <w:sz w:val="15"/>
                <w:szCs w:val="15"/>
                <w:color w:val="auto"/>
              </w:rPr>
            </w:pPr>
          </w:p>
        </w:tc>
        <w:tc>
          <w:tcPr>
            <w:tcW w:w="5980" w:type="dxa"/>
            <w:vAlign w:val="bottom"/>
            <w:gridSpan w:val="2"/>
            <w:vMerge w:val="continue"/>
          </w:tcPr>
          <w:p>
            <w:pPr>
              <w:spacing w:after="0"/>
              <w:rPr>
                <w:sz w:val="15"/>
                <w:szCs w:val="15"/>
                <w:color w:val="auto"/>
              </w:rPr>
            </w:pPr>
          </w:p>
        </w:tc>
        <w:tc>
          <w:tcPr>
            <w:tcW w:w="108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88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(1)</w:t>
            </w:r>
          </w:p>
        </w:tc>
        <w:tc>
          <w:tcPr>
            <w:tcW w:w="2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Vesting (#)</w:t>
            </w:r>
          </w:p>
        </w:tc>
        <w:tc>
          <w:tcPr>
            <w:tcW w:w="980" w:type="dxa"/>
            <w:vAlign w:val="bottom"/>
            <w:gridSpan w:val="2"/>
          </w:tcPr>
          <w:p>
            <w:pPr>
              <w:jc w:val="center"/>
              <w:ind w:right="80"/>
              <w:spacing w:after="0" w:line="162" w:lineRule="exact"/>
              <w:rPr>
                <w:sz w:val="20"/>
                <w:szCs w:val="20"/>
                <w:color w:val="auto"/>
              </w:rPr>
            </w:pPr>
            <w:r>
              <w:rPr>
                <w:rFonts w:ascii="Arial" w:cs="Arial" w:eastAsia="Arial" w:hAnsi="Arial"/>
                <w:sz w:val="13"/>
                <w:szCs w:val="13"/>
                <w:b w:val="1"/>
                <w:bCs w:val="1"/>
                <w:color w:val="auto"/>
              </w:rPr>
              <w:t>Vesting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90"/>
        </w:trPr>
        <w:tc>
          <w:tcPr>
            <w:tcW w:w="6380" w:type="dxa"/>
            <w:vAlign w:val="bottom"/>
            <w:tcBorders>
              <w:top w:val="single" w:sz="8" w:color="DBE5F1"/>
            </w:tcBorders>
            <w:gridSpan w:val="3"/>
            <w:shd w:val="clear" w:color="auto" w:fill="DBE5F1"/>
          </w:tcPr>
          <w:p>
            <w:pPr>
              <w:spacing w:after="0" w:line="189" w:lineRule="exact"/>
              <w:rPr>
                <w:sz w:val="20"/>
                <w:szCs w:val="20"/>
                <w:color w:val="auto"/>
              </w:rPr>
            </w:pPr>
            <w:r>
              <w:rPr>
                <w:rFonts w:ascii="Arial" w:cs="Arial" w:eastAsia="Arial" w:hAnsi="Arial"/>
                <w:sz w:val="18"/>
                <w:szCs w:val="18"/>
                <w:color w:val="auto"/>
              </w:rPr>
              <w:t>Sumedh S. Thakar</w:t>
            </w:r>
          </w:p>
        </w:tc>
        <w:tc>
          <w:tcPr>
            <w:tcW w:w="220" w:type="dxa"/>
            <w:vAlign w:val="bottom"/>
            <w:tcBorders>
              <w:top w:val="single" w:sz="8" w:color="DBE5F1"/>
            </w:tcBorders>
            <w:shd w:val="clear" w:color="auto" w:fill="DBE5F1"/>
          </w:tcPr>
          <w:p>
            <w:pPr>
              <w:spacing w:after="0"/>
              <w:rPr>
                <w:sz w:val="16"/>
                <w:szCs w:val="16"/>
                <w:color w:val="auto"/>
              </w:rPr>
            </w:pPr>
          </w:p>
        </w:tc>
        <w:tc>
          <w:tcPr>
            <w:tcW w:w="860" w:type="dxa"/>
            <w:vAlign w:val="bottom"/>
            <w:tcBorders>
              <w:top w:val="single" w:sz="8" w:color="FF0C07"/>
            </w:tcBorders>
            <w:shd w:val="clear" w:color="auto" w:fill="DBE5F1"/>
          </w:tcPr>
          <w:p>
            <w:pPr>
              <w:jc w:val="right"/>
              <w:spacing w:after="0" w:line="189" w:lineRule="exact"/>
              <w:rPr>
                <w:sz w:val="20"/>
                <w:szCs w:val="20"/>
                <w:color w:val="auto"/>
              </w:rPr>
            </w:pPr>
            <w:r>
              <w:rPr>
                <w:rFonts w:ascii="Arial" w:cs="Arial" w:eastAsia="Arial" w:hAnsi="Arial"/>
                <w:sz w:val="18"/>
                <w:szCs w:val="18"/>
                <w:color w:val="auto"/>
              </w:rPr>
              <w:t>78,900</w:t>
            </w:r>
          </w:p>
        </w:tc>
        <w:tc>
          <w:tcPr>
            <w:tcW w:w="280" w:type="dxa"/>
            <w:vAlign w:val="bottom"/>
            <w:tcBorders>
              <w:top w:val="single" w:sz="8" w:color="DBE5F1"/>
            </w:tcBorders>
            <w:shd w:val="clear" w:color="auto" w:fill="DBE5F1"/>
          </w:tcPr>
          <w:p>
            <w:pPr>
              <w:spacing w:after="0"/>
              <w:rPr>
                <w:sz w:val="16"/>
                <w:szCs w:val="16"/>
                <w:color w:val="auto"/>
              </w:rPr>
            </w:pPr>
          </w:p>
        </w:tc>
        <w:tc>
          <w:tcPr>
            <w:tcW w:w="880" w:type="dxa"/>
            <w:vAlign w:val="bottom"/>
            <w:tcBorders>
              <w:top w:val="single" w:sz="8" w:color="FF0C07"/>
            </w:tcBorders>
            <w:shd w:val="clear" w:color="auto" w:fill="DBE5F1"/>
          </w:tcPr>
          <w:p>
            <w:pPr>
              <w:jc w:val="right"/>
              <w:spacing w:after="0" w:line="189" w:lineRule="exact"/>
              <w:rPr>
                <w:sz w:val="20"/>
                <w:szCs w:val="20"/>
                <w:color w:val="auto"/>
              </w:rPr>
            </w:pPr>
            <w:r>
              <w:rPr>
                <w:rFonts w:ascii="Arial" w:cs="Arial" w:eastAsia="Arial" w:hAnsi="Arial"/>
                <w:sz w:val="18"/>
                <w:szCs w:val="18"/>
                <w:color w:val="auto"/>
              </w:rPr>
              <w:t>8,389,454</w:t>
            </w:r>
          </w:p>
        </w:tc>
        <w:tc>
          <w:tcPr>
            <w:tcW w:w="280" w:type="dxa"/>
            <w:vAlign w:val="bottom"/>
            <w:tcBorders>
              <w:top w:val="single" w:sz="8" w:color="DBE5F1"/>
            </w:tcBorders>
            <w:shd w:val="clear" w:color="auto" w:fill="DBE5F1"/>
          </w:tcPr>
          <w:p>
            <w:pPr>
              <w:spacing w:after="0"/>
              <w:rPr>
                <w:sz w:val="16"/>
                <w:szCs w:val="16"/>
                <w:color w:val="auto"/>
              </w:rPr>
            </w:pPr>
          </w:p>
        </w:tc>
        <w:tc>
          <w:tcPr>
            <w:tcW w:w="860" w:type="dxa"/>
            <w:vAlign w:val="bottom"/>
            <w:tcBorders>
              <w:top w:val="single" w:sz="8" w:color="FF0C07"/>
            </w:tcBorders>
            <w:shd w:val="clear" w:color="auto" w:fill="DBE5F1"/>
          </w:tcPr>
          <w:p>
            <w:pPr>
              <w:ind w:left="320"/>
              <w:spacing w:after="0" w:line="189" w:lineRule="exact"/>
              <w:rPr>
                <w:sz w:val="20"/>
                <w:szCs w:val="20"/>
                <w:color w:val="auto"/>
              </w:rPr>
            </w:pPr>
            <w:r>
              <w:rPr>
                <w:rFonts w:ascii="Arial" w:cs="Arial" w:eastAsia="Arial" w:hAnsi="Arial"/>
                <w:sz w:val="18"/>
                <w:szCs w:val="18"/>
                <w:color w:val="auto"/>
                <w:w w:val="94"/>
              </w:rPr>
              <w:t>69,839</w:t>
            </w:r>
          </w:p>
        </w:tc>
        <w:tc>
          <w:tcPr>
            <w:tcW w:w="280" w:type="dxa"/>
            <w:vAlign w:val="bottom"/>
            <w:tcBorders>
              <w:top w:val="single" w:sz="8" w:color="DBE5F1"/>
            </w:tcBorders>
            <w:shd w:val="clear" w:color="auto" w:fill="DBE5F1"/>
          </w:tcPr>
          <w:p>
            <w:pPr>
              <w:spacing w:after="0"/>
              <w:rPr>
                <w:sz w:val="16"/>
                <w:szCs w:val="16"/>
                <w:color w:val="auto"/>
              </w:rPr>
            </w:pPr>
          </w:p>
        </w:tc>
        <w:tc>
          <w:tcPr>
            <w:tcW w:w="900" w:type="dxa"/>
            <w:vAlign w:val="bottom"/>
            <w:tcBorders>
              <w:top w:val="single" w:sz="8" w:color="FF0C07"/>
            </w:tcBorders>
            <w:shd w:val="clear" w:color="auto" w:fill="DBE5F1"/>
          </w:tcPr>
          <w:p>
            <w:pPr>
              <w:jc w:val="right"/>
              <w:spacing w:after="0" w:line="189" w:lineRule="exact"/>
              <w:rPr>
                <w:sz w:val="20"/>
                <w:szCs w:val="20"/>
                <w:color w:val="auto"/>
              </w:rPr>
            </w:pPr>
            <w:r>
              <w:rPr>
                <w:rFonts w:ascii="Arial" w:cs="Arial" w:eastAsia="Arial" w:hAnsi="Arial"/>
                <w:sz w:val="18"/>
                <w:szCs w:val="18"/>
                <w:color w:val="auto"/>
              </w:rPr>
              <w:t>9,228,506</w:t>
            </w:r>
          </w:p>
        </w:tc>
        <w:tc>
          <w:tcPr>
            <w:tcW w:w="80" w:type="dxa"/>
            <w:vAlign w:val="bottom"/>
            <w:tcBorders>
              <w:top w:val="single" w:sz="8" w:color="DBE5F1"/>
            </w:tcBorders>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6380" w:type="dxa"/>
            <w:vAlign w:val="bottom"/>
            <w:gridSpan w:val="3"/>
          </w:tcPr>
          <w:p>
            <w:pPr>
              <w:spacing w:after="0"/>
              <w:rPr>
                <w:sz w:val="20"/>
                <w:szCs w:val="20"/>
                <w:color w:val="auto"/>
              </w:rPr>
            </w:pPr>
            <w:r>
              <w:rPr>
                <w:rFonts w:ascii="Arial" w:cs="Arial" w:eastAsia="Arial" w:hAnsi="Arial"/>
                <w:sz w:val="18"/>
                <w:szCs w:val="18"/>
                <w:color w:val="auto"/>
              </w:rPr>
              <w:t>Joo Mi Kim</w:t>
            </w:r>
          </w:p>
        </w:tc>
        <w:tc>
          <w:tcPr>
            <w:tcW w:w="22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20,283</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2,723,690</w:t>
            </w:r>
          </w:p>
        </w:tc>
        <w:tc>
          <w:tcPr>
            <w:tcW w:w="0" w:type="dxa"/>
            <w:vAlign w:val="bottom"/>
          </w:tcPr>
          <w:p>
            <w:pPr>
              <w:spacing w:after="0"/>
              <w:rPr>
                <w:sz w:val="1"/>
                <w:szCs w:val="1"/>
                <w:color w:val="auto"/>
              </w:rPr>
            </w:pPr>
          </w:p>
        </w:tc>
      </w:tr>
      <w:tr>
        <w:trPr>
          <w:trHeight w:val="310"/>
        </w:trPr>
        <w:tc>
          <w:tcPr>
            <w:tcW w:w="6380" w:type="dxa"/>
            <w:vAlign w:val="bottom"/>
            <w:gridSpan w:val="3"/>
            <w:shd w:val="clear" w:color="auto" w:fill="DBE5F1"/>
          </w:tcPr>
          <w:p>
            <w:pPr>
              <w:spacing w:after="0"/>
              <w:rPr>
                <w:sz w:val="20"/>
                <w:szCs w:val="20"/>
                <w:color w:val="auto"/>
              </w:rPr>
            </w:pPr>
            <w:r>
              <w:rPr>
                <w:rFonts w:ascii="Arial" w:cs="Arial" w:eastAsia="Arial" w:hAnsi="Arial"/>
                <w:sz w:val="18"/>
                <w:szCs w:val="18"/>
                <w:color w:val="auto"/>
              </w:rPr>
              <w:t>Allan Peters</w:t>
            </w:r>
          </w:p>
        </w:tc>
        <w:tc>
          <w:tcPr>
            <w:tcW w:w="220" w:type="dxa"/>
            <w:vAlign w:val="bottom"/>
            <w:shd w:val="clear" w:color="auto" w:fill="DBE5F1"/>
          </w:tcPr>
          <w:p>
            <w:pPr>
              <w:spacing w:after="0"/>
              <w:rPr>
                <w:sz w:val="24"/>
                <w:szCs w:val="24"/>
                <w:color w:val="auto"/>
              </w:rPr>
            </w:pPr>
          </w:p>
        </w:tc>
        <w:tc>
          <w:tcPr>
            <w:tcW w:w="1140" w:type="dxa"/>
            <w:vAlign w:val="bottom"/>
            <w:gridSpan w:val="2"/>
            <w:shd w:val="clear" w:color="auto" w:fill="DBE5F1"/>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BE5F1"/>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E5F1"/>
          </w:tcPr>
          <w:p>
            <w:pPr>
              <w:ind w:left="320"/>
              <w:spacing w:after="0"/>
              <w:rPr>
                <w:sz w:val="20"/>
                <w:szCs w:val="20"/>
                <w:color w:val="auto"/>
              </w:rPr>
            </w:pPr>
            <w:r>
              <w:rPr>
                <w:rFonts w:ascii="Arial" w:cs="Arial" w:eastAsia="Arial" w:hAnsi="Arial"/>
                <w:sz w:val="18"/>
                <w:szCs w:val="18"/>
                <w:color w:val="auto"/>
              </w:rPr>
              <w:t>10,955</w:t>
            </w:r>
          </w:p>
        </w:tc>
        <w:tc>
          <w:tcPr>
            <w:tcW w:w="980" w:type="dxa"/>
            <w:vAlign w:val="bottom"/>
            <w:gridSpan w:val="2"/>
            <w:shd w:val="clear" w:color="auto" w:fill="DBE5F1"/>
          </w:tcPr>
          <w:p>
            <w:pPr>
              <w:jc w:val="right"/>
              <w:ind w:right="80"/>
              <w:spacing w:after="0"/>
              <w:rPr>
                <w:sz w:val="20"/>
                <w:szCs w:val="20"/>
                <w:color w:val="auto"/>
              </w:rPr>
            </w:pPr>
            <w:r>
              <w:rPr>
                <w:rFonts w:ascii="Arial" w:cs="Arial" w:eastAsia="Arial" w:hAnsi="Arial"/>
                <w:sz w:val="18"/>
                <w:szCs w:val="18"/>
                <w:color w:val="auto"/>
              </w:rPr>
              <w:t>1,444,894</w:t>
            </w:r>
          </w:p>
        </w:tc>
        <w:tc>
          <w:tcPr>
            <w:tcW w:w="0" w:type="dxa"/>
            <w:vAlign w:val="bottom"/>
          </w:tcPr>
          <w:p>
            <w:pPr>
              <w:spacing w:after="0"/>
              <w:rPr>
                <w:sz w:val="1"/>
                <w:szCs w:val="1"/>
                <w:color w:val="auto"/>
              </w:rPr>
            </w:pPr>
          </w:p>
        </w:tc>
      </w:tr>
      <w:tr>
        <w:trPr>
          <w:trHeight w:val="328"/>
        </w:trPr>
        <w:tc>
          <w:tcPr>
            <w:tcW w:w="6380" w:type="dxa"/>
            <w:vAlign w:val="bottom"/>
            <w:gridSpan w:val="3"/>
          </w:tcPr>
          <w:p>
            <w:pPr>
              <w:spacing w:after="0"/>
              <w:rPr>
                <w:sz w:val="20"/>
                <w:szCs w:val="20"/>
                <w:color w:val="auto"/>
              </w:rPr>
            </w:pPr>
            <w:r>
              <w:rPr>
                <w:rFonts w:ascii="Arial" w:cs="Arial" w:eastAsia="Arial" w:hAnsi="Arial"/>
                <w:sz w:val="18"/>
                <w:szCs w:val="18"/>
                <w:color w:val="auto"/>
              </w:rPr>
              <w:t>Bruce K. Posey</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35,244</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4,223,969</w:t>
            </w: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27,885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3,684,723</w:t>
            </w:r>
          </w:p>
        </w:tc>
        <w:tc>
          <w:tcPr>
            <w:tcW w:w="0" w:type="dxa"/>
            <w:vAlign w:val="bottom"/>
          </w:tcPr>
          <w:p>
            <w:pPr>
              <w:spacing w:after="0"/>
              <w:rPr>
                <w:sz w:val="1"/>
                <w:szCs w:val="1"/>
                <w:color w:val="auto"/>
              </w:rPr>
            </w:pPr>
          </w:p>
        </w:tc>
      </w:tr>
      <w:tr>
        <w:trPr>
          <w:trHeight w:val="71"/>
        </w:trPr>
        <w:tc>
          <w:tcPr>
            <w:tcW w:w="400" w:type="dxa"/>
            <w:vAlign w:val="bottom"/>
            <w:tcBorders>
              <w:bottom w:val="single" w:sz="8" w:color="FF0C07"/>
            </w:tcBorders>
          </w:tcPr>
          <w:p>
            <w:pPr>
              <w:spacing w:after="0"/>
              <w:rPr>
                <w:sz w:val="6"/>
                <w:szCs w:val="6"/>
                <w:color w:val="auto"/>
              </w:rPr>
            </w:pPr>
          </w:p>
        </w:tc>
        <w:tc>
          <w:tcPr>
            <w:tcW w:w="820" w:type="dxa"/>
            <w:vAlign w:val="bottom"/>
            <w:tcBorders>
              <w:bottom w:val="single" w:sz="8" w:color="FF0C07"/>
            </w:tcBorders>
          </w:tcPr>
          <w:p>
            <w:pPr>
              <w:spacing w:after="0"/>
              <w:rPr>
                <w:sz w:val="6"/>
                <w:szCs w:val="6"/>
                <w:color w:val="auto"/>
              </w:rPr>
            </w:pPr>
          </w:p>
        </w:tc>
        <w:tc>
          <w:tcPr>
            <w:tcW w:w="5160" w:type="dxa"/>
            <w:vAlign w:val="bottom"/>
            <w:tcBorders>
              <w:bottom w:val="single" w:sz="8" w:color="FF0C07"/>
            </w:tcBorders>
          </w:tcPr>
          <w:p>
            <w:pPr>
              <w:spacing w:after="0"/>
              <w:rPr>
                <w:sz w:val="6"/>
                <w:szCs w:val="6"/>
                <w:color w:val="auto"/>
              </w:rPr>
            </w:pPr>
          </w:p>
        </w:tc>
        <w:tc>
          <w:tcPr>
            <w:tcW w:w="220" w:type="dxa"/>
            <w:vAlign w:val="bottom"/>
            <w:tcBorders>
              <w:bottom w:val="single" w:sz="8" w:color="FF0C07"/>
            </w:tcBorders>
          </w:tcPr>
          <w:p>
            <w:pPr>
              <w:spacing w:after="0"/>
              <w:rPr>
                <w:sz w:val="6"/>
                <w:szCs w:val="6"/>
                <w:color w:val="auto"/>
              </w:rPr>
            </w:pPr>
          </w:p>
        </w:tc>
        <w:tc>
          <w:tcPr>
            <w:tcW w:w="860" w:type="dxa"/>
            <w:vAlign w:val="bottom"/>
            <w:tcBorders>
              <w:bottom w:val="single" w:sz="8" w:color="FF0C07"/>
            </w:tcBorders>
          </w:tcPr>
          <w:p>
            <w:pPr>
              <w:spacing w:after="0"/>
              <w:rPr>
                <w:sz w:val="6"/>
                <w:szCs w:val="6"/>
                <w:color w:val="auto"/>
              </w:rPr>
            </w:pPr>
          </w:p>
        </w:tc>
        <w:tc>
          <w:tcPr>
            <w:tcW w:w="280" w:type="dxa"/>
            <w:vAlign w:val="bottom"/>
            <w:tcBorders>
              <w:bottom w:val="single" w:sz="8" w:color="FF0C07"/>
            </w:tcBorders>
          </w:tcPr>
          <w:p>
            <w:pPr>
              <w:spacing w:after="0"/>
              <w:rPr>
                <w:sz w:val="6"/>
                <w:szCs w:val="6"/>
                <w:color w:val="auto"/>
              </w:rPr>
            </w:pPr>
          </w:p>
        </w:tc>
        <w:tc>
          <w:tcPr>
            <w:tcW w:w="880" w:type="dxa"/>
            <w:vAlign w:val="bottom"/>
            <w:tcBorders>
              <w:bottom w:val="single" w:sz="8" w:color="FF0C07"/>
            </w:tcBorders>
          </w:tcPr>
          <w:p>
            <w:pPr>
              <w:spacing w:after="0"/>
              <w:rPr>
                <w:sz w:val="6"/>
                <w:szCs w:val="6"/>
                <w:color w:val="auto"/>
              </w:rPr>
            </w:pPr>
          </w:p>
        </w:tc>
        <w:tc>
          <w:tcPr>
            <w:tcW w:w="280" w:type="dxa"/>
            <w:vAlign w:val="bottom"/>
            <w:tcBorders>
              <w:bottom w:val="single" w:sz="8" w:color="FF0C07"/>
            </w:tcBorders>
          </w:tcPr>
          <w:p>
            <w:pPr>
              <w:spacing w:after="0"/>
              <w:rPr>
                <w:sz w:val="6"/>
                <w:szCs w:val="6"/>
                <w:color w:val="auto"/>
              </w:rPr>
            </w:pPr>
          </w:p>
        </w:tc>
        <w:tc>
          <w:tcPr>
            <w:tcW w:w="860" w:type="dxa"/>
            <w:vAlign w:val="bottom"/>
            <w:tcBorders>
              <w:bottom w:val="single" w:sz="8" w:color="FF0C07"/>
            </w:tcBorders>
          </w:tcPr>
          <w:p>
            <w:pPr>
              <w:spacing w:after="0"/>
              <w:rPr>
                <w:sz w:val="6"/>
                <w:szCs w:val="6"/>
                <w:color w:val="auto"/>
              </w:rPr>
            </w:pPr>
          </w:p>
        </w:tc>
        <w:tc>
          <w:tcPr>
            <w:tcW w:w="280" w:type="dxa"/>
            <w:vAlign w:val="bottom"/>
            <w:tcBorders>
              <w:bottom w:val="single" w:sz="8" w:color="FF0C07"/>
            </w:tcBorders>
          </w:tcPr>
          <w:p>
            <w:pPr>
              <w:spacing w:after="0"/>
              <w:rPr>
                <w:sz w:val="6"/>
                <w:szCs w:val="6"/>
                <w:color w:val="auto"/>
              </w:rPr>
            </w:pPr>
          </w:p>
        </w:tc>
        <w:tc>
          <w:tcPr>
            <w:tcW w:w="900" w:type="dxa"/>
            <w:vAlign w:val="bottom"/>
            <w:tcBorders>
              <w:bottom w:val="single" w:sz="8" w:color="FF0C07"/>
            </w:tcBorders>
          </w:tcPr>
          <w:p>
            <w:pPr>
              <w:spacing w:after="0"/>
              <w:rPr>
                <w:sz w:val="6"/>
                <w:szCs w:val="6"/>
                <w:color w:val="auto"/>
              </w:rPr>
            </w:pPr>
          </w:p>
        </w:tc>
        <w:tc>
          <w:tcPr>
            <w:tcW w:w="80" w:type="dxa"/>
            <w:vAlign w:val="bottom"/>
            <w:tcBorders>
              <w:bottom w:val="single" w:sz="8" w:color="FF0C07"/>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24" w:right="100" w:hanging="424"/>
        <w:spacing w:after="0" w:line="241"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value realized upon exercise was determined by multiplying (i) the number of shares of our common stock acquired on exercise by (ii) the difference between the closing price per share on the Nasdaq Stock Market of our common stock on the day of exercise and the exercise price per share.</w:t>
      </w:r>
    </w:p>
    <w:p>
      <w:pPr>
        <w:spacing w:after="0" w:line="1" w:lineRule="exact"/>
        <w:rPr>
          <w:rFonts w:ascii="Arial" w:cs="Arial" w:eastAsia="Arial" w:hAnsi="Arial"/>
          <w:sz w:val="18"/>
          <w:szCs w:val="18"/>
          <w:color w:val="auto"/>
        </w:rPr>
      </w:pPr>
    </w:p>
    <w:p>
      <w:pPr>
        <w:ind w:left="424" w:right="60" w:hanging="424"/>
        <w:spacing w:after="0" w:line="250"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value realized upon vesting was determined by multiplying (i) the number of shares of our common stock acquired on vesting by (ii) the closing price per share on the Nasdaq Stock Market of our common stock on the day of vesting.</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Pension Benefits &amp; Nonqualified Deferred Compensation</w:t>
      </w:r>
    </w:p>
    <w:p>
      <w:pPr>
        <w:spacing w:after="0" w:line="104" w:lineRule="exact"/>
        <w:rPr>
          <w:sz w:val="20"/>
          <w:szCs w:val="20"/>
          <w:color w:val="auto"/>
        </w:rPr>
      </w:pPr>
    </w:p>
    <w:p>
      <w:pPr>
        <w:ind w:left="4" w:right="660" w:firstLine="440"/>
        <w:spacing w:after="0" w:line="271" w:lineRule="auto"/>
        <w:rPr>
          <w:sz w:val="20"/>
          <w:szCs w:val="20"/>
          <w:color w:val="auto"/>
        </w:rPr>
      </w:pPr>
      <w:r>
        <w:rPr>
          <w:rFonts w:ascii="Arial" w:cs="Arial" w:eastAsia="Arial" w:hAnsi="Arial"/>
          <w:sz w:val="18"/>
          <w:szCs w:val="18"/>
          <w:color w:val="auto"/>
        </w:rPr>
        <w:t>We do not provide a pension plan for our employees, and no named executive officers participated in a nonqualified deferred compensation plan during 2022.</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06" w:lineRule="exact"/>
        <w:rPr>
          <w:sz w:val="20"/>
          <w:szCs w:val="20"/>
          <w:color w:val="auto"/>
        </w:rPr>
      </w:pPr>
    </w:p>
    <w:p>
      <w:pPr>
        <w:ind w:left="224"/>
        <w:spacing w:after="0"/>
        <w:rPr>
          <w:sz w:val="20"/>
          <w:szCs w:val="20"/>
          <w:color w:val="auto"/>
        </w:rPr>
      </w:pPr>
      <w:r>
        <w:rPr>
          <w:rFonts w:ascii="Arial" w:cs="Arial" w:eastAsia="Arial" w:hAnsi="Arial"/>
          <w:sz w:val="18"/>
          <w:szCs w:val="18"/>
          <w:b w:val="1"/>
          <w:bCs w:val="1"/>
          <w:i w:val="1"/>
          <w:iCs w:val="1"/>
          <w:color w:val="auto"/>
        </w:rPr>
        <w:t>Severance and Change of Control Policies</w:t>
      </w:r>
    </w:p>
    <w:p>
      <w:pPr>
        <w:spacing w:after="0" w:line="102" w:lineRule="exact"/>
        <w:rPr>
          <w:sz w:val="20"/>
          <w:szCs w:val="20"/>
          <w:color w:val="auto"/>
        </w:rPr>
      </w:pPr>
    </w:p>
    <w:p>
      <w:pPr>
        <w:ind w:left="4" w:right="160" w:firstLine="440"/>
        <w:spacing w:after="0" w:line="271" w:lineRule="auto"/>
        <w:rPr>
          <w:sz w:val="20"/>
          <w:szCs w:val="20"/>
          <w:color w:val="auto"/>
        </w:rPr>
      </w:pPr>
      <w:r>
        <w:rPr>
          <w:rFonts w:ascii="Arial" w:cs="Arial" w:eastAsia="Arial" w:hAnsi="Arial"/>
          <w:sz w:val="18"/>
          <w:szCs w:val="18"/>
          <w:color w:val="auto"/>
        </w:rPr>
        <w:t>Our board of directors approved (i) a severance and change of control policy for our CEO in April 2021, and (ii) for our other named executive officers in October 2021. The severance and change of</w:t>
      </w:r>
    </w:p>
    <w:p>
      <w:pPr>
        <w:spacing w:after="0" w:line="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4"/>
          </w:cols>
          <w:pgMar w:left="436" w:top="301" w:right="439" w:bottom="1440" w:gutter="0" w:footer="0" w:header="0"/>
        </w:sectPr>
      </w:pPr>
    </w:p>
    <w:bookmarkStart w:id="57" w:name="page58"/>
    <w:bookmarkEnd w:id="57"/>
    <w:p>
      <w:pPr>
        <w:ind w:right="16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control benefits under these policies supersede any prior agreement or arrangement the named executive officers may have had with us that provided for severance and/or change in control payments or benefits.</w:t>
      </w:r>
    </w:p>
    <w:p>
      <w:pPr>
        <w:spacing w:after="0" w:line="154" w:lineRule="exact"/>
        <w:rPr>
          <w:sz w:val="20"/>
          <w:szCs w:val="20"/>
          <w:color w:val="auto"/>
        </w:rPr>
      </w:pPr>
    </w:p>
    <w:p>
      <w:pPr>
        <w:ind w:right="20" w:firstLine="440"/>
        <w:spacing w:after="0" w:line="271" w:lineRule="auto"/>
        <w:rPr>
          <w:sz w:val="20"/>
          <w:szCs w:val="20"/>
          <w:color w:val="auto"/>
        </w:rPr>
      </w:pPr>
      <w:r>
        <w:rPr>
          <w:rFonts w:ascii="Arial" w:cs="Arial" w:eastAsia="Arial" w:hAnsi="Arial"/>
          <w:sz w:val="18"/>
          <w:szCs w:val="18"/>
          <w:color w:val="auto"/>
        </w:rPr>
        <w:t>Under these policies, in the event of a qualifying termination of the employment of a named executive officer that is not in connection with a change in control, the named executive officer will receive the following benefits:</w:t>
      </w:r>
    </w:p>
    <w:p>
      <w:pPr>
        <w:spacing w:after="0" w:line="59" w:lineRule="exact"/>
        <w:rPr>
          <w:sz w:val="20"/>
          <w:szCs w:val="20"/>
          <w:color w:val="auto"/>
        </w:rPr>
      </w:pPr>
    </w:p>
    <w:p>
      <w:pPr>
        <w:ind w:left="960" w:right="140" w:hanging="424"/>
        <w:spacing w:after="0" w:line="244"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severance pay equal to (i) in the case of Mr. Thakar, 12 months of his annual base salary, or (ii) in the case of each of the other named executive officers, (A) 3 months of the named executive officer’s annual base salary, if he or she has been employed by us for less than 1 year, (B) 6 months of the named executive officer’s annual base salary, if he or she has been employed by us for at least 1 year but not more than 5 years, or (C) 9 months of the named executive officer’s annual base salary, if he or she has been employed by us for more than 5 years; and</w:t>
      </w:r>
    </w:p>
    <w:p>
      <w:pPr>
        <w:spacing w:after="0" w:line="81" w:lineRule="exact"/>
        <w:rPr>
          <w:rFonts w:ascii="Arial" w:cs="Arial" w:eastAsia="Arial" w:hAnsi="Arial"/>
          <w:sz w:val="18"/>
          <w:szCs w:val="18"/>
          <w:color w:val="auto"/>
        </w:rPr>
      </w:pPr>
    </w:p>
    <w:p>
      <w:pPr>
        <w:ind w:left="960" w:hanging="424"/>
        <w:spacing w:after="0" w:line="24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 or reimbursement of premiums for coverage under COBRA for the named executive officer and his or her eligible dependents, if any, for up to the number of months of annual base salary that the named executive officer is entitled to receive under the previous bullet or taxable monthly payments for the equivalent period in the event payment of the COBRA premiums would violate or be subject to an excise tax under applicable law.</w:t>
      </w:r>
    </w:p>
    <w:p>
      <w:pPr>
        <w:spacing w:after="0" w:line="174" w:lineRule="exact"/>
        <w:rPr>
          <w:sz w:val="20"/>
          <w:szCs w:val="20"/>
          <w:color w:val="auto"/>
        </w:rPr>
      </w:pPr>
    </w:p>
    <w:p>
      <w:pPr>
        <w:ind w:right="280" w:firstLine="440"/>
        <w:spacing w:after="0" w:line="271" w:lineRule="auto"/>
        <w:rPr>
          <w:sz w:val="20"/>
          <w:szCs w:val="20"/>
          <w:color w:val="auto"/>
        </w:rPr>
      </w:pPr>
      <w:r>
        <w:rPr>
          <w:rFonts w:ascii="Arial" w:cs="Arial" w:eastAsia="Arial" w:hAnsi="Arial"/>
          <w:sz w:val="18"/>
          <w:szCs w:val="18"/>
          <w:color w:val="auto"/>
        </w:rPr>
        <w:t>In the event of a qualifying termination of the employment of a named executive officer in connection with a change in control, the named executive officer will receive the following benefits:</w:t>
      </w:r>
    </w:p>
    <w:p>
      <w:pPr>
        <w:spacing w:after="0" w:line="59" w:lineRule="exact"/>
        <w:rPr>
          <w:sz w:val="20"/>
          <w:szCs w:val="20"/>
          <w:color w:val="auto"/>
        </w:rPr>
      </w:pPr>
    </w:p>
    <w:p>
      <w:pPr>
        <w:ind w:left="960" w:right="80" w:hanging="424"/>
        <w:spacing w:after="0" w:line="271"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severance pay equal to 100% (or in Mr. Thakar’s case, 150%) of the named executive officer’s annual base salary and target annual bonus;</w:t>
      </w:r>
    </w:p>
    <w:p>
      <w:pPr>
        <w:spacing w:after="0" w:line="59" w:lineRule="exact"/>
        <w:rPr>
          <w:rFonts w:ascii="Arial" w:cs="Arial" w:eastAsia="Arial" w:hAnsi="Arial"/>
          <w:sz w:val="18"/>
          <w:szCs w:val="18"/>
          <w:color w:val="auto"/>
        </w:rPr>
      </w:pPr>
    </w:p>
    <w:p>
      <w:pPr>
        <w:ind w:left="960" w:right="200" w:hanging="424"/>
        <w:spacing w:after="0" w:line="275" w:lineRule="auto"/>
        <w:tabs>
          <w:tab w:leader="none" w:pos="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payment or reimbursement of premiums for coverage under COBRA for the named executive officer and his or her eligible dependents, if any, for up to 12 months (or in Mr. Thakar’s case, 18 months) or taxable monthly payments for the equivalent period in the event payment of the COBRA premiums would violate or be subject to an excise tax under applicable law; and</w:t>
      </w:r>
    </w:p>
    <w:p>
      <w:pPr>
        <w:spacing w:after="0" w:line="57" w:lineRule="exact"/>
        <w:rPr>
          <w:rFonts w:ascii="Arial" w:cs="Arial" w:eastAsia="Arial" w:hAnsi="Arial"/>
          <w:sz w:val="17"/>
          <w:szCs w:val="17"/>
          <w:color w:val="auto"/>
        </w:rPr>
      </w:pPr>
    </w:p>
    <w:p>
      <w:pPr>
        <w:ind w:left="960" w:right="160" w:hanging="424"/>
        <w:spacing w:after="0" w:line="253"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accelerated vesting and exercisability as to 100% of any then-unvested equity awards (including any Overperformance Amount), with performance-based equity awards vesting at target levels of performance for future performance periods. The payout will include already achieved cumulative performance over 100% up to the end of the prior performance period.</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Sumedh S. Thakar Equity Award Agreements</w:t>
      </w:r>
    </w:p>
    <w:p>
      <w:pPr>
        <w:spacing w:after="0" w:line="102" w:lineRule="exact"/>
        <w:rPr>
          <w:sz w:val="20"/>
          <w:szCs w:val="20"/>
          <w:color w:val="auto"/>
        </w:rPr>
      </w:pPr>
    </w:p>
    <w:p>
      <w:pPr>
        <w:ind w:right="80" w:firstLine="440"/>
        <w:spacing w:after="0"/>
        <w:rPr>
          <w:sz w:val="20"/>
          <w:szCs w:val="20"/>
          <w:color w:val="auto"/>
        </w:rPr>
      </w:pPr>
      <w:r>
        <w:rPr>
          <w:rFonts w:ascii="Arial" w:cs="Arial" w:eastAsia="Arial" w:hAnsi="Arial"/>
          <w:sz w:val="18"/>
          <w:szCs w:val="18"/>
          <w:color w:val="auto"/>
        </w:rPr>
        <w:t>Mr. Thakar was granted (i) on October 24, 2019, an award of 82,214 RSUs with a vesting commencement date of November 1, 2019, which was his annual refresh award for 2020, and (ii) on October 27, 2020, an award of 81,079 RSUs with a vesting commencement date of November 1, 2020, which was his annual refresh award for 2021. These awards, which were each granted pursuant to the 2012 Plan and an individual RSU agreement thereunder, are scheduled to vest in equal quarterly installments over four years following the applicable vesting commencement date, subject in each case to Mr. Thakar’s continued service through each such date. If Mr. Thakar’s employment is terminated by reason of death or disability, 100% of the then-unvested portion of each award set forth above will accelerate.</w:t>
      </w:r>
    </w:p>
    <w:p>
      <w:pPr>
        <w:spacing w:after="0" w:line="185" w:lineRule="exact"/>
        <w:rPr>
          <w:sz w:val="20"/>
          <w:szCs w:val="20"/>
          <w:color w:val="auto"/>
        </w:rPr>
      </w:pPr>
    </w:p>
    <w:p>
      <w:pPr>
        <w:ind w:right="340" w:firstLine="440"/>
        <w:spacing w:after="0" w:line="253" w:lineRule="auto"/>
        <w:rPr>
          <w:sz w:val="20"/>
          <w:szCs w:val="20"/>
          <w:color w:val="auto"/>
        </w:rPr>
      </w:pPr>
      <w:r>
        <w:rPr>
          <w:rFonts w:ascii="Arial" w:cs="Arial" w:eastAsia="Arial" w:hAnsi="Arial"/>
          <w:sz w:val="18"/>
          <w:szCs w:val="18"/>
          <w:color w:val="auto"/>
        </w:rPr>
        <w:t>In addition, Mr. Thakar was granted (i) on April 27, 2021, an award of 9,671 RSUs, with a vesting commencement date of May 1, 2021, (ii) on April 27, 2021, an award of PRSUs (covering a target number of 9,671 PRSUs) that are scheduled to vest based on achievement of goals related to revenue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96" w:right="479" w:bottom="1440" w:gutter="0" w:footer="0" w:header="0"/>
        </w:sectPr>
      </w:pPr>
    </w:p>
    <w:bookmarkStart w:id="58" w:name="page59"/>
    <w:bookmarkEnd w:id="58"/>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growth for a three-year period from January 2021 through December 2023 and free cash flow per share growth for the same three-year period, (iii) on October 28, 2021, an award of 39,288 RSUs, with a vesting commencement date of November 1, 2021, (iv) on October 28, 2021, an award of PRSUs (covering a target number of 39,288 PRSUs) that are scheduled to vest based on achievement of goals related to the revenue growth for a three-year period from January 2022 through December 2024 and Adjusted EBITDA margin targets for the applicable year in the same three-year period, (v) on October 27, 2022, an award of 45,535 RSUs, with a vesting commencement date of November 1, 2022, and (vi) on October 27, 2022, an award of PRSUs (covering a target number of 45,535 PRSUs) that are scheduled to vest based on achievement of goals related to the revenue growth for a three-year period from January 2023 through December 2025 and Adjusted EBITDA margin targets for the applicable year in the same three-year period. If Mr. Thakar’s employment is terminated by reason of death or disability, then 100% of the then-unvested RSUs will accelerate, and for any PRSUs as to which the achievement of the relevant performance goals has not yet been certified, 100% of the target number of PRSUs will accelerate.</w:t>
      </w:r>
    </w:p>
    <w:p>
      <w:pPr>
        <w:spacing w:after="0" w:line="180" w:lineRule="exact"/>
        <w:rPr>
          <w:sz w:val="20"/>
          <w:szCs w:val="20"/>
          <w:color w:val="auto"/>
        </w:rPr>
      </w:pPr>
    </w:p>
    <w:p>
      <w:pPr>
        <w:ind w:right="260" w:firstLine="440"/>
        <w:spacing w:after="0" w:line="271" w:lineRule="auto"/>
        <w:rPr>
          <w:sz w:val="20"/>
          <w:szCs w:val="20"/>
          <w:color w:val="auto"/>
        </w:rPr>
      </w:pPr>
      <w:r>
        <w:rPr>
          <w:rFonts w:ascii="Arial" w:cs="Arial" w:eastAsia="Arial" w:hAnsi="Arial"/>
          <w:sz w:val="18"/>
          <w:szCs w:val="18"/>
          <w:color w:val="auto"/>
        </w:rPr>
        <w:t>The awards above are governed by the severance and change of control policy for our CEO approved by our board of directors in April 2021, which is described above in the section entitled “—</w:t>
      </w:r>
      <w:r>
        <w:rPr>
          <w:rFonts w:ascii="Arial" w:cs="Arial" w:eastAsia="Arial" w:hAnsi="Arial"/>
          <w:sz w:val="18"/>
          <w:szCs w:val="18"/>
          <w:i w:val="1"/>
          <w:iCs w:val="1"/>
          <w:color w:val="auto"/>
        </w:rPr>
        <w:t>Severance and Change of Control Policies.</w:t>
      </w:r>
      <w:r>
        <w:rPr>
          <w:rFonts w:ascii="Arial" w:cs="Arial" w:eastAsia="Arial" w:hAnsi="Arial"/>
          <w:sz w:val="18"/>
          <w:szCs w:val="18"/>
          <w:color w:val="auto"/>
        </w:rPr>
        <w:t>”</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Joo Mi Kim Equity Award Agreements and Offer Letter</w:t>
      </w:r>
    </w:p>
    <w:p>
      <w:pPr>
        <w:spacing w:after="0" w:line="102" w:lineRule="exact"/>
        <w:rPr>
          <w:sz w:val="20"/>
          <w:szCs w:val="20"/>
          <w:color w:val="auto"/>
        </w:rPr>
      </w:pPr>
    </w:p>
    <w:p>
      <w:pPr>
        <w:ind w:right="40" w:firstLine="440"/>
        <w:spacing w:after="0" w:line="242" w:lineRule="auto"/>
        <w:rPr>
          <w:sz w:val="20"/>
          <w:szCs w:val="20"/>
          <w:color w:val="auto"/>
        </w:rPr>
      </w:pPr>
      <w:r>
        <w:rPr>
          <w:rFonts w:ascii="Arial" w:cs="Arial" w:eastAsia="Arial" w:hAnsi="Arial"/>
          <w:sz w:val="18"/>
          <w:szCs w:val="18"/>
          <w:color w:val="auto"/>
        </w:rPr>
        <w:t>Ms. Kim was granted (i) on July 29, 2020, an award of 37,894 RSUs with a vesting commencement date of July 1, 2020, which was her new hire award for 2020, and (ii) on October 27, 2020, an award of 10,135 RSUs with a vesting commencement date of November 1, 2020, which was her annual refresh award for 2021. These awards, which were each granted pursuant to the 2012 Plan and an individual RSU agreement thereunder, are scheduled to vest in equal quarterly installments over four years following the applicable vesting commencement date, subject in each case to Ms. Kim’s continued service through each such date. If Ms. Kim’s employment is terminated by reason of death or disability, 100% of the then-unvested portion of the award set forth in clause (ii) above will accelerate.</w:t>
      </w:r>
    </w:p>
    <w:p>
      <w:pPr>
        <w:spacing w:after="0" w:line="179" w:lineRule="exact"/>
        <w:rPr>
          <w:sz w:val="20"/>
          <w:szCs w:val="20"/>
          <w:color w:val="auto"/>
        </w:rPr>
      </w:pPr>
    </w:p>
    <w:p>
      <w:pPr>
        <w:ind w:right="60" w:firstLine="440"/>
        <w:spacing w:after="0" w:line="247" w:lineRule="auto"/>
        <w:rPr>
          <w:sz w:val="20"/>
          <w:szCs w:val="20"/>
          <w:color w:val="auto"/>
        </w:rPr>
      </w:pPr>
      <w:r>
        <w:rPr>
          <w:rFonts w:ascii="Arial" w:cs="Arial" w:eastAsia="Arial" w:hAnsi="Arial"/>
          <w:sz w:val="18"/>
          <w:szCs w:val="18"/>
          <w:color w:val="auto"/>
        </w:rPr>
        <w:t>In addition, pursuant to Ms. Kim’s offer letter agreement, if her employment is terminated by Qualys without cause, she will be entitled to severance equal to 4 months of her base salary, subject to her entering into a separation agreement with and a general release of claims in favor of Qualys. This benefit is superseded by the superior benefits provided in the severance and change of control policy described above.</w:t>
      </w:r>
    </w:p>
    <w:p>
      <w:pPr>
        <w:spacing w:after="0" w:line="174" w:lineRule="exact"/>
        <w:rPr>
          <w:sz w:val="20"/>
          <w:szCs w:val="20"/>
          <w:color w:val="auto"/>
        </w:rPr>
      </w:pPr>
    </w:p>
    <w:p>
      <w:pPr>
        <w:ind w:right="40" w:firstLine="440"/>
        <w:spacing w:after="0" w:line="239" w:lineRule="auto"/>
        <w:rPr>
          <w:sz w:val="20"/>
          <w:szCs w:val="20"/>
          <w:color w:val="auto"/>
        </w:rPr>
      </w:pPr>
      <w:r>
        <w:rPr>
          <w:rFonts w:ascii="Arial" w:cs="Arial" w:eastAsia="Arial" w:hAnsi="Arial"/>
          <w:sz w:val="18"/>
          <w:szCs w:val="18"/>
          <w:color w:val="auto"/>
        </w:rPr>
        <w:t>In addition, Ms. Kim was granted (i) on October 28, 2021, an award of 33,100 RSUs, with a vesting commencement date of November 1, 2021, (ii) on October 28, 2021, an award of PRSUs (covering a target number of 14,186 PRSUs) that are scheduled to vest based on achievement of goals related to the revenue growth for a three-year period from January 2022 through December 2024 and Adjusted EBITDA margin targets for the applicable year in the same three-year period, (iii) on October 27, 2022, an award of 27,416 RSUs, with a vesting commencement date of November 1, 2022, and (iv) on October 27, 2022, an award of PRSUs (covering a target number of 11,769 PRSUs) that are scheduled to vest based on achievement of goals related to the revenue growth for a three-year period from January 2023 through December 2025 and Adjusted EBITDA margin targets for the applicable year in the same three-year period. If Ms. Kim’s employment is terminated by reason of death or disability, then 100% of the then-unvested RSUs will accelerate, and for any PRSUs as to which the achievement of the relevant performance goals has not yet been certified, 100% of the target number of PRSUs will accelerate.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96" w:right="459" w:bottom="1440" w:gutter="0" w:footer="0" w:header="0"/>
        </w:sectPr>
      </w:pPr>
    </w:p>
    <w:bookmarkStart w:id="59" w:name="page60"/>
    <w:bookmarkEnd w:id="59"/>
    <w:p>
      <w:pPr>
        <w:jc w:val="both"/>
        <w:ind w:right="60" w:firstLine="440"/>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awards above are governed by the severance and change of control policy for our non-CEO named executive officers approved by our board of directors in October 2021, which is described above in the section entitled “—</w:t>
      </w:r>
      <w:r>
        <w:rPr>
          <w:rFonts w:ascii="Arial" w:cs="Arial" w:eastAsia="Arial" w:hAnsi="Arial"/>
          <w:sz w:val="17"/>
          <w:szCs w:val="17"/>
          <w:i w:val="1"/>
          <w:iCs w:val="1"/>
          <w:color w:val="auto"/>
        </w:rPr>
        <w:t>Severance and Change of Control Policies.</w:t>
      </w:r>
      <w:r>
        <w:rPr>
          <w:rFonts w:ascii="Arial" w:cs="Arial" w:eastAsia="Arial" w:hAnsi="Arial"/>
          <w:sz w:val="17"/>
          <w:szCs w:val="17"/>
          <w:color w:val="auto"/>
        </w:rPr>
        <w:t>”</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Allan Peters Equity Award Agreement and Departure</w:t>
      </w:r>
    </w:p>
    <w:p>
      <w:pPr>
        <w:spacing w:after="0" w:line="102" w:lineRule="exact"/>
        <w:rPr>
          <w:sz w:val="20"/>
          <w:szCs w:val="20"/>
          <w:color w:val="auto"/>
        </w:rPr>
      </w:pPr>
    </w:p>
    <w:p>
      <w:pPr>
        <w:ind w:right="240" w:firstLine="440"/>
        <w:spacing w:after="0" w:line="247" w:lineRule="auto"/>
        <w:rPr>
          <w:sz w:val="20"/>
          <w:szCs w:val="20"/>
          <w:color w:val="auto"/>
        </w:rPr>
      </w:pPr>
      <w:r>
        <w:rPr>
          <w:rFonts w:ascii="Arial" w:cs="Arial" w:eastAsia="Arial" w:hAnsi="Arial"/>
          <w:sz w:val="18"/>
          <w:szCs w:val="18"/>
          <w:color w:val="auto"/>
        </w:rPr>
        <w:t>On February 7, 2023, the Company and Mr. Peters mutually agreed to end Mr. Peters’ employment with Qualys. Pursuant to a Transition Agreement and Release, Mr. Peters provided transition services to the Company through and including March 31, 2023. In connection with this agreement, the Company paid Mr. Peters $162,500 and reimbursed him for up to 4 months of COBRA coverage, in addition to the wages earned through March 31, 2023.</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Bruce K. Posey Equity Award Agreements</w:t>
      </w:r>
    </w:p>
    <w:p>
      <w:pPr>
        <w:spacing w:after="0" w:line="102" w:lineRule="exact"/>
        <w:rPr>
          <w:sz w:val="20"/>
          <w:szCs w:val="20"/>
          <w:color w:val="auto"/>
        </w:rPr>
      </w:pPr>
    </w:p>
    <w:p>
      <w:pPr>
        <w:ind w:firstLine="440"/>
        <w:spacing w:after="0" w:line="259" w:lineRule="auto"/>
        <w:rPr>
          <w:sz w:val="20"/>
          <w:szCs w:val="20"/>
          <w:color w:val="auto"/>
        </w:rPr>
      </w:pPr>
      <w:r>
        <w:rPr>
          <w:rFonts w:ascii="Arial" w:cs="Arial" w:eastAsia="Arial" w:hAnsi="Arial"/>
          <w:sz w:val="17"/>
          <w:szCs w:val="17"/>
          <w:color w:val="auto"/>
        </w:rPr>
        <w:t>Mr. Posey was granted (i) on October 24, 2019, an award of 34,864 RSUs with a vesting commencement date of November 1, 2019, which was his annual refresh award for 2020, and (ii) on October 27, 2020, an award of 32,432 RSUs with a vesting commencement date of November 1, 2020, which was his annual refresh award for 2021. These awards, which were each granted pursuant to the 2012 Plan and an individual RSU agreement thereunder, are scheduled to vest in equal quarterly installments over four years following the applicable vesting commencement date, subject in each case to Mr. Posey’s continued service through each such date. If Mr. Posey’s employment is terminated by reason of death or disability, 100% of the then-unvested portion of each award set forth above will accelerate.</w:t>
      </w:r>
    </w:p>
    <w:p>
      <w:pPr>
        <w:spacing w:after="0" w:line="165"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In addition, Mr. Posey was granted on (i) October 28, 2021, an award of 20,779 RSUs, with a vesting commencement date of November 1, 2021 (ii) on October 28, 2021, an award of PRSUs (covering a target number of 8,906 PRSUs) that are scheduled to vest based on achievement of goals related to the revenue growth for a three-year period from January 2022 through December 2024 and Adjusted EBITDA margin targets for the applicable year in the same three-year period, iii) on October 27, 2022, an award of 15,692 RSUs, with a vesting commencement date of November 1, 2022, and (iv) on October 27, 2022, an award of PRSUs (covering a target number of 6,726 PRSUs) that are scheduled to vest based on achievement of goals related to the revenue growth for a three-year period from January 2023 through December 2025 and Adjusted EBITDA margin targets for the applicable year in the same three-year period. If</w:t>
      </w:r>
    </w:p>
    <w:p>
      <w:pPr>
        <w:spacing w:after="0" w:line="5" w:lineRule="exact"/>
        <w:rPr>
          <w:sz w:val="20"/>
          <w:szCs w:val="20"/>
          <w:color w:val="auto"/>
        </w:rPr>
      </w:pPr>
    </w:p>
    <w:p>
      <w:pPr>
        <w:jc w:val="both"/>
        <w:ind w:right="140"/>
        <w:spacing w:after="0" w:line="242" w:lineRule="auto"/>
        <w:rPr>
          <w:sz w:val="20"/>
          <w:szCs w:val="20"/>
          <w:color w:val="auto"/>
        </w:rPr>
      </w:pPr>
      <w:r>
        <w:rPr>
          <w:rFonts w:ascii="Arial" w:cs="Arial" w:eastAsia="Arial" w:hAnsi="Arial"/>
          <w:sz w:val="18"/>
          <w:szCs w:val="18"/>
          <w:color w:val="auto"/>
        </w:rPr>
        <w:t>Mr. Posey’s employment is terminated by reason of death or disability, then 100% of the then-unvested RSUs will accelerate, and for any PRSUs as to which the achievement of the relevant performance goals has not yet been certified, 100% of the target number of PRSUs will accelerate.</w:t>
      </w:r>
    </w:p>
    <w:p>
      <w:pPr>
        <w:spacing w:after="0" w:line="179" w:lineRule="exact"/>
        <w:rPr>
          <w:sz w:val="20"/>
          <w:szCs w:val="20"/>
          <w:color w:val="auto"/>
        </w:rPr>
      </w:pPr>
    </w:p>
    <w:p>
      <w:pPr>
        <w:jc w:val="both"/>
        <w:ind w:right="60" w:firstLine="440"/>
        <w:spacing w:after="0" w:line="301" w:lineRule="auto"/>
        <w:rPr>
          <w:sz w:val="20"/>
          <w:szCs w:val="20"/>
          <w:color w:val="auto"/>
        </w:rPr>
      </w:pPr>
      <w:r>
        <w:rPr>
          <w:rFonts w:ascii="Arial" w:cs="Arial" w:eastAsia="Arial" w:hAnsi="Arial"/>
          <w:sz w:val="17"/>
          <w:szCs w:val="17"/>
          <w:color w:val="auto"/>
        </w:rPr>
        <w:t>The awards above are governed by the severance and change of control policy for our non-CEO named executive officers approved by our board of directors in October 2021, which is described above in the section entitled “—</w:t>
      </w:r>
      <w:r>
        <w:rPr>
          <w:rFonts w:ascii="Arial" w:cs="Arial" w:eastAsia="Arial" w:hAnsi="Arial"/>
          <w:sz w:val="17"/>
          <w:szCs w:val="17"/>
          <w:i w:val="1"/>
          <w:iCs w:val="1"/>
          <w:color w:val="auto"/>
        </w:rPr>
        <w:t>Severance and Change of Control Policies.</w:t>
      </w:r>
      <w:r>
        <w:rPr>
          <w:rFonts w:ascii="Arial" w:cs="Arial" w:eastAsia="Arial" w:hAnsi="Arial"/>
          <w:sz w:val="17"/>
          <w:szCs w:val="17"/>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Payments Upon Termination or Change in Control</w:t>
      </w:r>
    </w:p>
    <w:p>
      <w:pPr>
        <w:spacing w:after="0" w:line="104"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The following table provides an estimate of the payments and benefits that would be provided in the circumstances described above for each of the named executive officers except Mr. Peters, assuming the triggering event took place on December 30, 2022 (the last business day of 2022) and based on the $112.23 closing price per share of our common stock on the Nasdaq Stock Market on that date. A number of factors may affect the nature and amount of any potential payments or benefits, and as a result, the payments and benefits actually paid (if any) may be different. For example, a triggering event may occur on a date other than December 30, 2022, the price per share of our common stock on the date of the triggering event may be higher or lower than $112.23 or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96" w:right="459" w:bottom="1440" w:gutter="0" w:footer="0" w:header="0"/>
        </w:sectPr>
      </w:pPr>
    </w:p>
    <w:bookmarkStart w:id="60" w:name="page61"/>
    <w:bookmarkEnd w:id="60"/>
    <w:p>
      <w:pPr>
        <w:ind w:left="4" w:right="24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assumptions relied upon in the estimate of potential payments and benefits below may not reflect the actual circumstances of the triggering event. Accordingly, there is no guarantee that a triggering event would produce the same or similar results as those estimated below. The benefits to which Mr. Peters was eligible upon the end of his employment are explained above in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or Change in Control</w:t>
      </w:r>
      <w:r>
        <w:rPr>
          <w:rFonts w:ascii="Arial" w:cs="Arial" w:eastAsia="Arial" w:hAnsi="Arial"/>
          <w:sz w:val="18"/>
          <w:szCs w:val="18"/>
          <w:color w:val="auto"/>
        </w:rPr>
        <w:t>”.</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Upon a Qualifying</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4"/>
          </w:tcPr>
          <w:p>
            <w:pPr>
              <w:jc w:val="right"/>
              <w:ind w:right="580"/>
              <w:spacing w:after="0" w:line="175" w:lineRule="exact"/>
              <w:rPr>
                <w:sz w:val="20"/>
                <w:szCs w:val="20"/>
                <w:color w:val="auto"/>
              </w:rPr>
            </w:pPr>
            <w:r>
              <w:rPr>
                <w:rFonts w:ascii="Arial" w:cs="Arial" w:eastAsia="Arial" w:hAnsi="Arial"/>
                <w:sz w:val="14"/>
                <w:szCs w:val="14"/>
                <w:b w:val="1"/>
                <w:bCs w:val="1"/>
                <w:color w:val="auto"/>
              </w:rPr>
              <w:t>Termination of Employment</w:t>
            </w:r>
            <w:r>
              <w:rPr>
                <w:rFonts w:ascii="Arial" w:cs="Arial" w:eastAsia="Arial" w:hAnsi="Arial"/>
                <w:sz w:val="20"/>
                <w:szCs w:val="20"/>
                <w:b w:val="1"/>
                <w:bCs w:val="1"/>
                <w:color w:val="auto"/>
                <w:vertAlign w:val="superscript"/>
              </w:rPr>
              <w:t>(1)</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Not in</w:t>
            </w:r>
          </w:p>
        </w:tc>
        <w:tc>
          <w:tcPr>
            <w:tcW w:w="12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Connection</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Connection</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 a Change</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With a Change</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Disability or</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320" w:type="dxa"/>
            <w:vAlign w:val="bottom"/>
            <w:vMerge w:val="restart"/>
          </w:tcPr>
          <w:p>
            <w:pPr>
              <w:spacing w:after="0"/>
              <w:rPr>
                <w:sz w:val="14"/>
                <w:szCs w:val="14"/>
                <w:color w:val="auto"/>
              </w:rPr>
            </w:pP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 Control</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 Control</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78"/>
        </w:trPr>
        <w:tc>
          <w:tcPr>
            <w:tcW w:w="400" w:type="dxa"/>
            <w:vAlign w:val="bottom"/>
            <w:tcBorders>
              <w:bottom w:val="single" w:sz="8" w:color="auto"/>
            </w:tcBorders>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2900" w:type="dxa"/>
            <w:vAlign w:val="bottom"/>
            <w:gridSpan w:val="2"/>
          </w:tcPr>
          <w:p>
            <w:pPr>
              <w:ind w:left="820"/>
              <w:spacing w:after="0" w:line="158" w:lineRule="exact"/>
              <w:rPr>
                <w:sz w:val="20"/>
                <w:szCs w:val="20"/>
                <w:color w:val="auto"/>
              </w:rPr>
            </w:pPr>
            <w:r>
              <w:rPr>
                <w:rFonts w:ascii="Arial" w:cs="Arial" w:eastAsia="Arial" w:hAnsi="Arial"/>
                <w:sz w:val="14"/>
                <w:szCs w:val="14"/>
                <w:b w:val="1"/>
                <w:bCs w:val="1"/>
                <w:color w:val="auto"/>
              </w:rPr>
              <w:t>Type of Benefit</w:t>
            </w: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5"/>
                <w:szCs w:val="15"/>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Sumedh S. Thakar</w:t>
            </w:r>
          </w:p>
        </w:tc>
        <w:tc>
          <w:tcPr>
            <w:tcW w:w="124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Vesting Acceleration</w:t>
            </w:r>
          </w:p>
        </w:tc>
        <w:tc>
          <w:tcPr>
            <w:tcW w:w="2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27,749,316</w:t>
            </w:r>
          </w:p>
        </w:tc>
        <w:tc>
          <w:tcPr>
            <w:tcW w:w="2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26,557,249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140" w:type="dxa"/>
            <w:vAlign w:val="bottom"/>
            <w:gridSpan w:val="3"/>
          </w:tcPr>
          <w:p>
            <w:pPr>
              <w:ind w:left="1240"/>
              <w:spacing w:after="0" w:line="202" w:lineRule="exact"/>
              <w:rPr>
                <w:sz w:val="20"/>
                <w:szCs w:val="20"/>
                <w:color w:val="auto"/>
              </w:rPr>
            </w:pPr>
            <w:r>
              <w:rPr>
                <w:rFonts w:ascii="Arial" w:cs="Arial" w:eastAsia="Arial" w:hAnsi="Arial"/>
                <w:sz w:val="18"/>
                <w:szCs w:val="18"/>
                <w:color w:val="auto"/>
              </w:rPr>
              <w:t>Cash Severance</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550,000</w:t>
            </w: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1,650,000</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4140" w:type="dxa"/>
            <w:vAlign w:val="bottom"/>
            <w:gridSpan w:val="3"/>
            <w:shd w:val="clear" w:color="auto" w:fill="CCEEFF"/>
          </w:tcPr>
          <w:p>
            <w:pPr>
              <w:ind w:left="1240"/>
              <w:spacing w:after="0" w:line="202" w:lineRule="exact"/>
              <w:rPr>
                <w:sz w:val="20"/>
                <w:szCs w:val="20"/>
                <w:color w:val="auto"/>
              </w:rPr>
            </w:pPr>
            <w:r>
              <w:rPr>
                <w:rFonts w:ascii="Arial" w:cs="Arial" w:eastAsia="Arial" w:hAnsi="Arial"/>
                <w:sz w:val="18"/>
                <w:szCs w:val="18"/>
                <w:color w:val="auto"/>
              </w:rPr>
              <w:t>COBRA Payments</w:t>
            </w:r>
          </w:p>
        </w:tc>
        <w:tc>
          <w:tcPr>
            <w:tcW w:w="14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31,679</w:t>
            </w:r>
          </w:p>
        </w:tc>
        <w:tc>
          <w:tcPr>
            <w:tcW w:w="1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47,519</w:t>
            </w: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rPr>
              <w:t>Total Termination Benefits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581,679</w:t>
            </w:r>
          </w:p>
        </w:tc>
        <w:tc>
          <w:tcPr>
            <w:tcW w:w="280" w:type="dxa"/>
            <w:vAlign w:val="bottom"/>
            <w:tcBorders>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29,446,835</w:t>
            </w:r>
          </w:p>
        </w:tc>
        <w:tc>
          <w:tcPr>
            <w:tcW w:w="260" w:type="dxa"/>
            <w:vAlign w:val="bottom"/>
            <w:tcBorders>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26,557,249</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Joo Mi Kim</w:t>
            </w:r>
          </w:p>
        </w:tc>
        <w:tc>
          <w:tcPr>
            <w:tcW w:w="4140" w:type="dxa"/>
            <w:vAlign w:val="bottom"/>
            <w:gridSpan w:val="3"/>
            <w:shd w:val="clear" w:color="auto" w:fill="CCEEFF"/>
          </w:tcPr>
          <w:p>
            <w:pPr>
              <w:ind w:left="1240"/>
              <w:spacing w:after="0" w:line="196" w:lineRule="exact"/>
              <w:rPr>
                <w:sz w:val="20"/>
                <w:szCs w:val="20"/>
                <w:color w:val="auto"/>
              </w:rPr>
            </w:pPr>
            <w:r>
              <w:rPr>
                <w:rFonts w:ascii="Arial" w:cs="Arial" w:eastAsia="Arial" w:hAnsi="Arial"/>
                <w:sz w:val="18"/>
                <w:szCs w:val="18"/>
                <w:color w:val="auto"/>
              </w:rPr>
              <w:t>Vesting Acceleration</w:t>
            </w:r>
          </w:p>
        </w:tc>
        <w:tc>
          <w:tcPr>
            <w:tcW w:w="14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11,640,832</w:t>
            </w:r>
          </w:p>
        </w:tc>
        <w:tc>
          <w:tcPr>
            <w:tcW w:w="1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9,349,676</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140" w:type="dxa"/>
            <w:vAlign w:val="bottom"/>
            <w:gridSpan w:val="3"/>
          </w:tcPr>
          <w:p>
            <w:pPr>
              <w:ind w:left="1240"/>
              <w:spacing w:after="0" w:line="202" w:lineRule="exact"/>
              <w:rPr>
                <w:sz w:val="20"/>
                <w:szCs w:val="20"/>
                <w:color w:val="auto"/>
              </w:rPr>
            </w:pPr>
            <w:r>
              <w:rPr>
                <w:rFonts w:ascii="Arial" w:cs="Arial" w:eastAsia="Arial" w:hAnsi="Arial"/>
                <w:sz w:val="18"/>
                <w:szCs w:val="18"/>
                <w:color w:val="auto"/>
              </w:rPr>
              <w:t>Cash Severance</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205,000</w:t>
            </w: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615,000</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4140" w:type="dxa"/>
            <w:vAlign w:val="bottom"/>
            <w:gridSpan w:val="3"/>
            <w:shd w:val="clear" w:color="auto" w:fill="CCEEFF"/>
          </w:tcPr>
          <w:p>
            <w:pPr>
              <w:ind w:left="1240"/>
              <w:spacing w:after="0" w:line="202" w:lineRule="exact"/>
              <w:rPr>
                <w:sz w:val="20"/>
                <w:szCs w:val="20"/>
                <w:color w:val="auto"/>
              </w:rPr>
            </w:pPr>
            <w:r>
              <w:rPr>
                <w:rFonts w:ascii="Arial" w:cs="Arial" w:eastAsia="Arial" w:hAnsi="Arial"/>
                <w:sz w:val="18"/>
                <w:szCs w:val="18"/>
                <w:color w:val="auto"/>
              </w:rPr>
              <w:t>COBRA Payments</w:t>
            </w:r>
          </w:p>
        </w:tc>
        <w:tc>
          <w:tcPr>
            <w:tcW w:w="14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5,079</w:t>
            </w:r>
          </w:p>
        </w:tc>
        <w:tc>
          <w:tcPr>
            <w:tcW w:w="1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10,158</w:t>
            </w: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rPr>
              <w:t>Total Termination Benefits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210,079</w:t>
            </w:r>
          </w:p>
        </w:tc>
        <w:tc>
          <w:tcPr>
            <w:tcW w:w="280" w:type="dxa"/>
            <w:vAlign w:val="bottom"/>
            <w:tcBorders>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12,265,990</w:t>
            </w:r>
          </w:p>
        </w:tc>
        <w:tc>
          <w:tcPr>
            <w:tcW w:w="260" w:type="dxa"/>
            <w:vAlign w:val="bottom"/>
            <w:tcBorders>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9,349,676</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Bruce K. Posey</w:t>
            </w:r>
          </w:p>
        </w:tc>
        <w:tc>
          <w:tcPr>
            <w:tcW w:w="4140" w:type="dxa"/>
            <w:vAlign w:val="bottom"/>
            <w:gridSpan w:val="3"/>
            <w:shd w:val="clear" w:color="auto" w:fill="CCEEFF"/>
          </w:tcPr>
          <w:p>
            <w:pPr>
              <w:ind w:left="1240"/>
              <w:spacing w:after="0" w:line="196" w:lineRule="exact"/>
              <w:rPr>
                <w:sz w:val="20"/>
                <w:szCs w:val="20"/>
                <w:color w:val="auto"/>
              </w:rPr>
            </w:pPr>
            <w:r>
              <w:rPr>
                <w:rFonts w:ascii="Arial" w:cs="Arial" w:eastAsia="Arial" w:hAnsi="Arial"/>
                <w:sz w:val="18"/>
                <w:szCs w:val="18"/>
                <w:color w:val="auto"/>
              </w:rPr>
              <w:t>Vesting Acceleration</w:t>
            </w:r>
          </w:p>
        </w:tc>
        <w:tc>
          <w:tcPr>
            <w:tcW w:w="14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8,332,853</w:t>
            </w:r>
          </w:p>
        </w:tc>
        <w:tc>
          <w:tcPr>
            <w:tcW w:w="1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8,062,594</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140" w:type="dxa"/>
            <w:vAlign w:val="bottom"/>
            <w:gridSpan w:val="3"/>
          </w:tcPr>
          <w:p>
            <w:pPr>
              <w:ind w:left="1240"/>
              <w:spacing w:after="0" w:line="202" w:lineRule="exact"/>
              <w:rPr>
                <w:sz w:val="20"/>
                <w:szCs w:val="20"/>
                <w:color w:val="auto"/>
              </w:rPr>
            </w:pPr>
            <w:r>
              <w:rPr>
                <w:rFonts w:ascii="Arial" w:cs="Arial" w:eastAsia="Arial" w:hAnsi="Arial"/>
                <w:sz w:val="18"/>
                <w:szCs w:val="18"/>
                <w:color w:val="auto"/>
              </w:rPr>
              <w:t>Cash Severance</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270,000</w:t>
            </w: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540,000</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4140" w:type="dxa"/>
            <w:vAlign w:val="bottom"/>
            <w:gridSpan w:val="3"/>
            <w:shd w:val="clear" w:color="auto" w:fill="CCEEFF"/>
          </w:tcPr>
          <w:p>
            <w:pPr>
              <w:ind w:left="1240"/>
              <w:spacing w:after="0" w:line="202" w:lineRule="exact"/>
              <w:rPr>
                <w:sz w:val="20"/>
                <w:szCs w:val="20"/>
                <w:color w:val="auto"/>
              </w:rPr>
            </w:pPr>
            <w:r>
              <w:rPr>
                <w:rFonts w:ascii="Arial" w:cs="Arial" w:eastAsia="Arial" w:hAnsi="Arial"/>
                <w:sz w:val="18"/>
                <w:szCs w:val="18"/>
                <w:color w:val="auto"/>
              </w:rPr>
              <w:t>COBRA Payments</w:t>
            </w:r>
          </w:p>
        </w:tc>
        <w:tc>
          <w:tcPr>
            <w:tcW w:w="14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23,759</w:t>
            </w:r>
          </w:p>
        </w:tc>
        <w:tc>
          <w:tcPr>
            <w:tcW w:w="1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31,679</w:t>
            </w: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140" w:type="dxa"/>
            <w:vAlign w:val="bottom"/>
            <w:gridSpan w:val="3"/>
          </w:tcPr>
          <w:p>
            <w:pPr>
              <w:ind w:left="1240"/>
              <w:spacing w:after="0"/>
              <w:rPr>
                <w:sz w:val="20"/>
                <w:szCs w:val="20"/>
                <w:color w:val="auto"/>
              </w:rPr>
            </w:pPr>
            <w:r>
              <w:rPr>
                <w:rFonts w:ascii="Arial" w:cs="Arial" w:eastAsia="Arial" w:hAnsi="Arial"/>
                <w:sz w:val="18"/>
                <w:szCs w:val="18"/>
                <w:b w:val="1"/>
                <w:bCs w:val="1"/>
                <w:color w:val="auto"/>
              </w:rPr>
              <w:t>Total Termination Benefits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293,759</w:t>
            </w:r>
          </w:p>
        </w:tc>
        <w:tc>
          <w:tcPr>
            <w:tcW w:w="2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8,904,532</w:t>
            </w:r>
          </w:p>
        </w:tc>
        <w:tc>
          <w:tcPr>
            <w:tcW w:w="26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8,062,594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424" w:right="60" w:hanging="424"/>
        <w:spacing w:after="0" w:line="252" w:lineRule="auto"/>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amounts listed represent the severance and vesting acceleration benefits described above in the section entitled “</w:t>
      </w:r>
      <w:r>
        <w:rPr>
          <w:rFonts w:ascii="Arial" w:cs="Arial" w:eastAsia="Arial" w:hAnsi="Arial"/>
          <w:sz w:val="16"/>
          <w:szCs w:val="16"/>
          <w:i w:val="1"/>
          <w:iCs w:val="1"/>
          <w:color w:val="auto"/>
        </w:rPr>
        <w:t>Potential Payments Upon</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or Change in Control</w:t>
      </w:r>
      <w:r>
        <w:rPr>
          <w:rFonts w:ascii="Arial" w:cs="Arial" w:eastAsia="Arial" w:hAnsi="Arial"/>
          <w:sz w:val="16"/>
          <w:szCs w:val="16"/>
          <w:color w:val="auto"/>
        </w:rPr>
        <w:t>” as of December 30, 2022 (the last business day of 2022). For RSUs and PRSUs, the value of such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acceleration is computed by multiplying (i) the number of shares of our common stock subject to the RSUs or PRSUs that are being accelerated (at target for PRSUs) by (ii) the closing sales price per share of our common stock on December 30, 2022 ($112.23).</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CEO Pay Ratio</w:t>
      </w:r>
    </w:p>
    <w:p>
      <w:pPr>
        <w:spacing w:after="0" w:line="104" w:lineRule="exact"/>
        <w:rPr>
          <w:sz w:val="20"/>
          <w:szCs w:val="20"/>
          <w:color w:val="auto"/>
        </w:rPr>
      </w:pPr>
    </w:p>
    <w:p>
      <w:pPr>
        <w:ind w:left="4" w:right="500" w:firstLine="440"/>
        <w:spacing w:after="0" w:line="253" w:lineRule="auto"/>
        <w:rPr>
          <w:sz w:val="20"/>
          <w:szCs w:val="20"/>
          <w:color w:val="auto"/>
        </w:rPr>
      </w:pPr>
      <w:r>
        <w:rPr>
          <w:rFonts w:ascii="Arial" w:cs="Arial" w:eastAsia="Arial" w:hAnsi="Arial"/>
          <w:sz w:val="18"/>
          <w:szCs w:val="18"/>
          <w:color w:val="auto"/>
        </w:rPr>
        <w:t>Under SEC rules, we are required to provide the following information regarding the relationship between the annual total compensation of Mr. Thakar, our Chief Executive Officer as of the date we selected to identify the median employee, and the median annual total compensation of our employees (other than Mr. Thakar) for fiscal year 2022:</w:t>
      </w:r>
    </w:p>
    <w:p>
      <w:pPr>
        <w:spacing w:after="0" w:line="74" w:lineRule="exact"/>
        <w:rPr>
          <w:sz w:val="20"/>
          <w:szCs w:val="20"/>
          <w:color w:val="auto"/>
        </w:rPr>
      </w:pPr>
    </w:p>
    <w:p>
      <w:pPr>
        <w:ind w:left="964" w:right="760" w:hanging="532"/>
        <w:spacing w:after="0" w:line="271" w:lineRule="auto"/>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(other than Mr. Thakar) of the Company (including our consolidated subsidiaries) was $46,290.</w:t>
      </w:r>
    </w:p>
    <w:p>
      <w:pPr>
        <w:spacing w:after="0" w:line="59" w:lineRule="exact"/>
        <w:rPr>
          <w:rFonts w:ascii="Arial" w:cs="Arial" w:eastAsia="Arial" w:hAnsi="Arial"/>
          <w:sz w:val="18"/>
          <w:szCs w:val="18"/>
          <w:color w:val="auto"/>
        </w:rPr>
      </w:pPr>
    </w:p>
    <w:p>
      <w:pPr>
        <w:ind w:left="964" w:right="720" w:hanging="532"/>
        <w:spacing w:after="0" w:line="271" w:lineRule="auto"/>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Thakar’s annual total compensation, as reported in the 2022 Summary Compensation Table included in this proxy statement, was $11,392,553.</w:t>
      </w:r>
    </w:p>
    <w:p>
      <w:pPr>
        <w:spacing w:after="0" w:line="59" w:lineRule="exact"/>
        <w:rPr>
          <w:rFonts w:ascii="Arial" w:cs="Arial" w:eastAsia="Arial" w:hAnsi="Arial"/>
          <w:sz w:val="18"/>
          <w:szCs w:val="18"/>
          <w:color w:val="auto"/>
        </w:rPr>
      </w:pPr>
    </w:p>
    <w:p>
      <w:pPr>
        <w:ind w:left="964" w:right="920" w:hanging="532"/>
        <w:spacing w:after="0" w:line="271" w:lineRule="auto"/>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the above, for 2022, the ratio of Mr. Thakar’s annual total compensation to the median of the annual total compensation of all employees other than Mr. Thakar was approximately 246 to 1.</w:t>
      </w:r>
    </w:p>
    <w:p>
      <w:pPr>
        <w:spacing w:after="0" w:line="154" w:lineRule="exact"/>
        <w:rPr>
          <w:sz w:val="20"/>
          <w:szCs w:val="20"/>
          <w:color w:val="auto"/>
        </w:rPr>
      </w:pPr>
    </w:p>
    <w:p>
      <w:pPr>
        <w:ind w:left="4" w:right="140" w:firstLine="440"/>
        <w:spacing w:after="0" w:line="244" w:lineRule="auto"/>
        <w:rPr>
          <w:sz w:val="20"/>
          <w:szCs w:val="20"/>
          <w:color w:val="auto"/>
        </w:rPr>
      </w:pPr>
      <w:r>
        <w:rPr>
          <w:rFonts w:ascii="Arial" w:cs="Arial" w:eastAsia="Arial" w:hAnsi="Arial"/>
          <w:sz w:val="18"/>
          <w:szCs w:val="18"/>
          <w:color w:val="auto"/>
        </w:rPr>
        <w:t>This pay ratio is a reasonable estimate calculated in a manner consistent with Item 402(u) of SEC Regulation S-K. We determined the median of the annual total compensation of our employees (other than Mr. Thakar) as of December 31, 2022, at which time we (including our consolidated subsidiaries) had 2,143 full-time, part-time, and temporary employees, 545 of whom are U.S. employees, and 1,598 (or approximately 75% of our total employee population) of whom are located outside of the United States (10 in Australia, 4 in Brazil, 12 in Canada, 1 in Colombia, 1 in the Czech Republic, 30 in</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4"/>
          </w:cols>
          <w:pgMar w:left="436" w:top="296" w:right="439" w:bottom="1440" w:gutter="0" w:footer="0" w:header="0"/>
        </w:sectPr>
      </w:pPr>
    </w:p>
    <w:bookmarkStart w:id="61" w:name="page62"/>
    <w:bookmarkEnd w:id="61"/>
    <w:p>
      <w:pPr>
        <w:ind w:right="120"/>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France, 20 in Germany, 4 in Hong Kong, 1,417 in India, 9 in Italy, 3 in Japan, 5 in Mexico, 11 in the Netherlands, 1 in the Philippines, 5 in Poland, , 6 in Singapore, 2 in South Africa, 8 in Spain, 2 in Saudi Arabia, 7 in the United Arab Emirates, and 40 in the United Kingdom).</w:t>
      </w:r>
    </w:p>
    <w:p>
      <w:pPr>
        <w:spacing w:after="0" w:line="131"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In accordance with the permitted methodology for determining the “median employee”, we re-identified the “median employee” for the 2022 fiscal year due to the change in employee population. We excluded all non-U.S. employees (other than those located in France, Germany, India, and the United Kingdom) from our calculations under the de minimis exclusion to the extent the aggregate did not exceed 5% of our total employee population. We then compared the base salaries paid, bonuses earned, and equity awards granted to our 2,052 employees in the U.S., France, Germany, India, and the United Kingdom (which consisted of 545 U.S. employees and 1,507 non-U.S. employees) in 2022 to determine the median employee. Once we identified our median employee, we calculated the employee’s annual total compensation as though the median employee was reported in the 2022 Summary Compensation Table in accordance with the requirements of Item 402(c)(2)(x) of SEC Regulation S-K, yielding the median annual total compensation disclosed above. With respect to the annual total compensation of Mr. Thakar, we used the amount reported in the “Total” column in the 2022 Summary Compensation Table included in this proxy statement.</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440" w:top="296" w:right="499" w:bottom="1440"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Pay Versus Performance Disclosure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Average</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4"/>
            <w:vMerge w:val="restart"/>
          </w:tcPr>
          <w:p>
            <w:pPr>
              <w:jc w:val="right"/>
              <w:ind w:right="540"/>
              <w:spacing w:after="0"/>
              <w:rPr>
                <w:sz w:val="20"/>
                <w:szCs w:val="20"/>
                <w:color w:val="auto"/>
              </w:rPr>
            </w:pPr>
            <w:r>
              <w:rPr>
                <w:rFonts w:ascii="Arial" w:cs="Arial" w:eastAsia="Arial" w:hAnsi="Arial"/>
                <w:sz w:val="10"/>
                <w:szCs w:val="10"/>
                <w:b w:val="1"/>
                <w:bCs w:val="1"/>
                <w:color w:val="auto"/>
              </w:rPr>
              <w:t>Value of Initial Fixed $100</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rPr>
              <w:t>Summary</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rPr>
              <w:t>Average</w:t>
            </w:r>
          </w:p>
        </w:tc>
        <w:tc>
          <w:tcPr>
            <w:tcW w:w="218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3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Year</w:t>
            </w: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180" w:type="dxa"/>
            <w:vAlign w:val="bottom"/>
            <w:gridSpan w:val="4"/>
            <w:vMerge w:val="restart"/>
          </w:tcPr>
          <w:p>
            <w:pPr>
              <w:jc w:val="right"/>
              <w:ind w:right="620"/>
              <w:spacing w:after="0"/>
              <w:rPr>
                <w:sz w:val="20"/>
                <w:szCs w:val="20"/>
                <w:color w:val="auto"/>
              </w:rPr>
            </w:pPr>
            <w:r>
              <w:rPr>
                <w:rFonts w:ascii="Arial" w:cs="Arial" w:eastAsia="Arial" w:hAnsi="Arial"/>
                <w:sz w:val="10"/>
                <w:szCs w:val="10"/>
                <w:b w:val="1"/>
                <w:bCs w:val="1"/>
                <w:color w:val="auto"/>
              </w:rPr>
              <w:t>Investment Based On:</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38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tcPr>
          <w:p>
            <w:pPr>
              <w:jc w:val="center"/>
              <w:ind w:right="100"/>
              <w:spacing w:after="0" w:line="80" w:lineRule="exact"/>
              <w:rPr>
                <w:sz w:val="20"/>
                <w:szCs w:val="20"/>
                <w:color w:val="auto"/>
              </w:rPr>
            </w:pPr>
            <w:r>
              <w:rPr>
                <w:rFonts w:ascii="Arial" w:cs="Arial" w:eastAsia="Arial" w:hAnsi="Arial"/>
                <w:sz w:val="9"/>
                <w:szCs w:val="9"/>
                <w:b w:val="1"/>
                <w:bCs w:val="1"/>
                <w:color w:val="auto"/>
              </w:rPr>
              <w:t>Compensation</w:t>
            </w:r>
          </w:p>
        </w:tc>
        <w:tc>
          <w:tcPr>
            <w:tcW w:w="1100" w:type="dxa"/>
            <w:vAlign w:val="bottom"/>
            <w:gridSpan w:val="2"/>
          </w:tcPr>
          <w:p>
            <w:pPr>
              <w:jc w:val="center"/>
              <w:ind w:right="100"/>
              <w:spacing w:after="0" w:line="80" w:lineRule="exact"/>
              <w:rPr>
                <w:sz w:val="20"/>
                <w:szCs w:val="20"/>
                <w:color w:val="auto"/>
              </w:rPr>
            </w:pPr>
            <w:r>
              <w:rPr>
                <w:rFonts w:ascii="Arial" w:cs="Arial" w:eastAsia="Arial" w:hAnsi="Arial"/>
                <w:sz w:val="9"/>
                <w:szCs w:val="9"/>
                <w:b w:val="1"/>
                <w:bCs w:val="1"/>
                <w:color w:val="auto"/>
              </w:rPr>
              <w:t>Compensation</w:t>
            </w:r>
          </w:p>
        </w:tc>
        <w:tc>
          <w:tcPr>
            <w:tcW w:w="2180" w:type="dxa"/>
            <w:vAlign w:val="bottom"/>
            <w:gridSpan w:val="4"/>
            <w:vMerge w:val="continue"/>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0" w:type="dxa"/>
            <w:vAlign w:val="bottom"/>
            <w:tcBorders>
              <w:top w:val="single" w:sz="8" w:color="FF0C07"/>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Table Total for</w:t>
            </w:r>
          </w:p>
        </w:tc>
        <w:tc>
          <w:tcPr>
            <w:tcW w:w="1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Actually Paid</w:t>
            </w:r>
          </w:p>
        </w:tc>
        <w:tc>
          <w:tcPr>
            <w:tcW w:w="980" w:type="dxa"/>
            <w:vAlign w:val="bottom"/>
            <w:tcBorders>
              <w:top w:val="single" w:sz="8" w:color="FF0C07"/>
            </w:tcBorders>
          </w:tcPr>
          <w:p>
            <w:pPr>
              <w:spacing w:after="0"/>
              <w:rPr>
                <w:sz w:val="12"/>
                <w:szCs w:val="12"/>
                <w:color w:val="auto"/>
              </w:rPr>
            </w:pPr>
          </w:p>
        </w:tc>
        <w:tc>
          <w:tcPr>
            <w:tcW w:w="120" w:type="dxa"/>
            <w:vAlign w:val="bottom"/>
            <w:tcBorders>
              <w:top w:val="single" w:sz="8" w:color="FF0C07"/>
            </w:tcBorders>
          </w:tcPr>
          <w:p>
            <w:pPr>
              <w:spacing w:after="0"/>
              <w:rPr>
                <w:sz w:val="12"/>
                <w:szCs w:val="12"/>
                <w:color w:val="auto"/>
              </w:rPr>
            </w:pPr>
          </w:p>
        </w:tc>
        <w:tc>
          <w:tcPr>
            <w:tcW w:w="980" w:type="dxa"/>
            <w:vAlign w:val="bottom"/>
            <w:tcBorders>
              <w:top w:val="single" w:sz="8" w:color="FF0C07"/>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Summary</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Summary</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Compensation</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Non-PEO</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to Non-PEO</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Peer Group</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Compensation</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Compensation</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Compensation</w:t>
            </w:r>
          </w:p>
        </w:tc>
        <w:tc>
          <w:tcPr>
            <w:tcW w:w="11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Actually Paid</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Named</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Named</w:t>
            </w:r>
          </w:p>
        </w:tc>
        <w:tc>
          <w:tcPr>
            <w:tcW w:w="11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Total</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Total</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Table Total for</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Actually Paid</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Table Total for</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to Second</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Executive</w:t>
            </w:r>
          </w:p>
        </w:tc>
        <w:tc>
          <w:tcPr>
            <w:tcW w:w="1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Executive</w:t>
            </w:r>
          </w:p>
        </w:tc>
        <w:tc>
          <w:tcPr>
            <w:tcW w:w="11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Shareholder</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Shareholder</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Net Income</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First PEO</w:t>
            </w:r>
            <w:r>
              <w:rPr>
                <w:rFonts w:ascii="Arial" w:cs="Arial" w:eastAsia="Arial" w:hAnsi="Arial"/>
                <w:sz w:val="12"/>
                <w:szCs w:val="12"/>
                <w:b w:val="1"/>
                <w:bCs w:val="1"/>
                <w:color w:val="auto"/>
                <w:w w:val="94"/>
                <w:vertAlign w:val="superscript"/>
              </w:rPr>
              <w:t>1, 2</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to First PEO</w:t>
            </w:r>
            <w:r>
              <w:rPr>
                <w:rFonts w:ascii="Arial" w:cs="Arial" w:eastAsia="Arial" w:hAnsi="Arial"/>
                <w:sz w:val="12"/>
                <w:szCs w:val="12"/>
                <w:b w:val="1"/>
                <w:bCs w:val="1"/>
                <w:color w:val="auto"/>
                <w:w w:val="95"/>
                <w:vertAlign w:val="superscript"/>
              </w:rPr>
              <w:t>1,3</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Second PEO</w:t>
            </w:r>
            <w:r>
              <w:rPr>
                <w:rFonts w:ascii="Arial" w:cs="Arial" w:eastAsia="Arial" w:hAnsi="Arial"/>
                <w:sz w:val="12"/>
                <w:szCs w:val="12"/>
                <w:b w:val="1"/>
                <w:bCs w:val="1"/>
                <w:color w:val="auto"/>
                <w:w w:val="95"/>
                <w:vertAlign w:val="superscript"/>
              </w:rPr>
              <w:t>1,2</w:t>
            </w:r>
          </w:p>
        </w:tc>
        <w:tc>
          <w:tcPr>
            <w:tcW w:w="1100" w:type="dxa"/>
            <w:vAlign w:val="bottom"/>
            <w:gridSpan w:val="2"/>
          </w:tcPr>
          <w:p>
            <w:pPr>
              <w:jc w:val="center"/>
              <w:ind w:right="120"/>
              <w:spacing w:after="0" w:line="143" w:lineRule="exact"/>
              <w:rPr>
                <w:sz w:val="20"/>
                <w:szCs w:val="20"/>
                <w:color w:val="auto"/>
              </w:rPr>
            </w:pPr>
            <w:r>
              <w:rPr>
                <w:rFonts w:ascii="Arial" w:cs="Arial" w:eastAsia="Arial" w:hAnsi="Arial"/>
                <w:sz w:val="16"/>
                <w:szCs w:val="16"/>
                <w:b w:val="1"/>
                <w:bCs w:val="1"/>
                <w:color w:val="auto"/>
                <w:w w:val="97"/>
                <w:vertAlign w:val="subscript"/>
              </w:rPr>
              <w:t>PEO</w:t>
            </w:r>
            <w:r>
              <w:rPr>
                <w:rFonts w:ascii="Arial" w:cs="Arial" w:eastAsia="Arial" w:hAnsi="Arial"/>
                <w:sz w:val="6"/>
                <w:szCs w:val="6"/>
                <w:b w:val="1"/>
                <w:bCs w:val="1"/>
                <w:color w:val="auto"/>
                <w:w w:val="97"/>
              </w:rPr>
              <w:t>1,3</w:t>
            </w: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 xml:space="preserve">Officers </w:t>
            </w:r>
            <w:r>
              <w:rPr>
                <w:rFonts w:ascii="Arial" w:cs="Arial" w:eastAsia="Arial" w:hAnsi="Arial"/>
                <w:sz w:val="12"/>
                <w:szCs w:val="12"/>
                <w:b w:val="1"/>
                <w:bCs w:val="1"/>
                <w:color w:val="auto"/>
                <w:w w:val="97"/>
                <w:vertAlign w:val="superscript"/>
              </w:rPr>
              <w:t>4</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 xml:space="preserve">Officers </w:t>
            </w:r>
            <w:r>
              <w:rPr>
                <w:rFonts w:ascii="Arial" w:cs="Arial" w:eastAsia="Arial" w:hAnsi="Arial"/>
                <w:sz w:val="12"/>
                <w:szCs w:val="12"/>
                <w:b w:val="1"/>
                <w:bCs w:val="1"/>
                <w:color w:val="auto"/>
                <w:w w:val="97"/>
                <w:vertAlign w:val="superscript"/>
              </w:rPr>
              <w:t>5</w:t>
            </w:r>
          </w:p>
        </w:tc>
        <w:tc>
          <w:tcPr>
            <w:tcW w:w="11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 xml:space="preserve">Return </w:t>
            </w:r>
            <w:r>
              <w:rPr>
                <w:rFonts w:ascii="Arial" w:cs="Arial" w:eastAsia="Arial" w:hAnsi="Arial"/>
                <w:sz w:val="12"/>
                <w:szCs w:val="12"/>
                <w:b w:val="1"/>
                <w:bCs w:val="1"/>
                <w:color w:val="auto"/>
                <w:w w:val="96"/>
                <w:vertAlign w:val="superscript"/>
              </w:rPr>
              <w:t>6</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 xml:space="preserve">Return </w:t>
            </w:r>
            <w:r>
              <w:rPr>
                <w:rFonts w:ascii="Arial" w:cs="Arial" w:eastAsia="Arial" w:hAnsi="Arial"/>
                <w:sz w:val="12"/>
                <w:szCs w:val="12"/>
                <w:b w:val="1"/>
                <w:bCs w:val="1"/>
                <w:color w:val="auto"/>
                <w:w w:val="96"/>
                <w:vertAlign w:val="superscript"/>
              </w:rPr>
              <w:t>7</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 xml:space="preserve">($M) </w:t>
            </w:r>
            <w:r>
              <w:rPr>
                <w:rFonts w:ascii="Arial" w:cs="Arial" w:eastAsia="Arial" w:hAnsi="Arial"/>
                <w:sz w:val="12"/>
                <w:szCs w:val="12"/>
                <w:b w:val="1"/>
                <w:bCs w:val="1"/>
                <w:color w:val="auto"/>
                <w:vertAlign w:val="superscript"/>
              </w:rPr>
              <w:t>8</w:t>
            </w:r>
          </w:p>
        </w:tc>
        <w:tc>
          <w:tcPr>
            <w:tcW w:w="800" w:type="dxa"/>
            <w:vAlign w:val="bottom"/>
            <w:gridSpan w:val="2"/>
          </w:tcPr>
          <w:p>
            <w:pPr>
              <w:ind w:left="120"/>
              <w:spacing w:after="0"/>
              <w:rPr>
                <w:sz w:val="20"/>
                <w:szCs w:val="20"/>
                <w:color w:val="auto"/>
              </w:rPr>
            </w:pPr>
            <w:r>
              <w:rPr>
                <w:rFonts w:ascii="Arial" w:cs="Arial" w:eastAsia="Arial" w:hAnsi="Arial"/>
                <w:sz w:val="10"/>
                <w:szCs w:val="10"/>
                <w:b w:val="1"/>
                <w:bCs w:val="1"/>
                <w:color w:val="auto"/>
              </w:rPr>
              <w:t xml:space="preserve">Revenues </w:t>
            </w:r>
            <w:r>
              <w:rPr>
                <w:rFonts w:ascii="Arial" w:cs="Arial" w:eastAsia="Arial" w:hAnsi="Arial"/>
                <w:sz w:val="12"/>
                <w:szCs w:val="12"/>
                <w:b w:val="1"/>
                <w:bCs w:val="1"/>
                <w:color w:val="auto"/>
                <w:vertAlign w:val="superscript"/>
              </w:rPr>
              <w:t>9</w:t>
            </w:r>
          </w:p>
        </w:tc>
        <w:tc>
          <w:tcPr>
            <w:tcW w:w="0" w:type="dxa"/>
            <w:vAlign w:val="bottom"/>
          </w:tcPr>
          <w:p>
            <w:pPr>
              <w:spacing w:after="0"/>
              <w:rPr>
                <w:sz w:val="1"/>
                <w:szCs w:val="1"/>
                <w:color w:val="auto"/>
              </w:rPr>
            </w:pPr>
          </w:p>
        </w:tc>
      </w:tr>
      <w:tr>
        <w:trPr>
          <w:trHeight w:val="129"/>
        </w:trPr>
        <w:tc>
          <w:tcPr>
            <w:tcW w:w="260" w:type="dxa"/>
            <w:vAlign w:val="bottom"/>
            <w:tcBorders>
              <w:bottom w:val="single" w:sz="8" w:color="FF0C07"/>
            </w:tcBorders>
          </w:tcPr>
          <w:p>
            <w:pPr>
              <w:spacing w:after="0"/>
              <w:rPr>
                <w:sz w:val="20"/>
                <w:szCs w:val="20"/>
                <w:color w:val="auto"/>
              </w:rPr>
            </w:pPr>
            <w:r>
              <w:rPr>
                <w:rFonts w:ascii="Arial" w:cs="Arial" w:eastAsia="Arial" w:hAnsi="Arial"/>
                <w:sz w:val="10"/>
                <w:szCs w:val="10"/>
                <w:b w:val="1"/>
                <w:bCs w:val="1"/>
                <w:color w:val="auto"/>
              </w:rPr>
              <w:t>(a)</w:t>
            </w:r>
          </w:p>
        </w:tc>
        <w:tc>
          <w:tcPr>
            <w:tcW w:w="120" w:type="dxa"/>
            <w:vAlign w:val="bottom"/>
          </w:tcPr>
          <w:p>
            <w:pPr>
              <w:spacing w:after="0"/>
              <w:rPr>
                <w:sz w:val="11"/>
                <w:szCs w:val="11"/>
                <w:color w:val="auto"/>
              </w:rPr>
            </w:pPr>
          </w:p>
        </w:tc>
        <w:tc>
          <w:tcPr>
            <w:tcW w:w="1000" w:type="dxa"/>
            <w:vAlign w:val="bottom"/>
            <w:tcBorders>
              <w:top w:val="single" w:sz="8" w:color="FF0C07"/>
              <w:bottom w:val="single" w:sz="8" w:color="FF0C07"/>
            </w:tcBorders>
          </w:tcPr>
          <w:p>
            <w:pPr>
              <w:jc w:val="center"/>
              <w:spacing w:after="0"/>
              <w:rPr>
                <w:sz w:val="20"/>
                <w:szCs w:val="20"/>
                <w:color w:val="auto"/>
              </w:rPr>
            </w:pPr>
            <w:r>
              <w:rPr>
                <w:rFonts w:ascii="Arial" w:cs="Arial" w:eastAsia="Arial" w:hAnsi="Arial"/>
                <w:sz w:val="10"/>
                <w:szCs w:val="10"/>
                <w:b w:val="1"/>
                <w:bCs w:val="1"/>
                <w:color w:val="auto"/>
                <w:w w:val="93"/>
              </w:rPr>
              <w:t>(b)</w:t>
            </w:r>
          </w:p>
        </w:tc>
        <w:tc>
          <w:tcPr>
            <w:tcW w:w="120" w:type="dxa"/>
            <w:vAlign w:val="bottom"/>
          </w:tcPr>
          <w:p>
            <w:pPr>
              <w:spacing w:after="0"/>
              <w:rPr>
                <w:sz w:val="11"/>
                <w:szCs w:val="11"/>
                <w:color w:val="auto"/>
              </w:rPr>
            </w:pPr>
          </w:p>
        </w:tc>
        <w:tc>
          <w:tcPr>
            <w:tcW w:w="980" w:type="dxa"/>
            <w:vAlign w:val="bottom"/>
            <w:tcBorders>
              <w:top w:val="single" w:sz="8" w:color="FF0C07"/>
              <w:bottom w:val="single" w:sz="8" w:color="FF0C07"/>
            </w:tcBorders>
          </w:tcPr>
          <w:p>
            <w:pPr>
              <w:jc w:val="center"/>
              <w:spacing w:after="0"/>
              <w:rPr>
                <w:sz w:val="20"/>
                <w:szCs w:val="20"/>
                <w:color w:val="auto"/>
              </w:rPr>
            </w:pPr>
            <w:r>
              <w:rPr>
                <w:rFonts w:ascii="Arial" w:cs="Arial" w:eastAsia="Arial" w:hAnsi="Arial"/>
                <w:sz w:val="10"/>
                <w:szCs w:val="10"/>
                <w:b w:val="1"/>
                <w:bCs w:val="1"/>
                <w:color w:val="auto"/>
                <w:w w:val="97"/>
              </w:rPr>
              <w:t>(c)</w:t>
            </w:r>
          </w:p>
        </w:tc>
        <w:tc>
          <w:tcPr>
            <w:tcW w:w="100" w:type="dxa"/>
            <w:vAlign w:val="bottom"/>
          </w:tcPr>
          <w:p>
            <w:pPr>
              <w:spacing w:after="0"/>
              <w:rPr>
                <w:sz w:val="11"/>
                <w:szCs w:val="11"/>
                <w:color w:val="auto"/>
              </w:rPr>
            </w:pPr>
          </w:p>
        </w:tc>
        <w:tc>
          <w:tcPr>
            <w:tcW w:w="1000" w:type="dxa"/>
            <w:vAlign w:val="bottom"/>
            <w:tcBorders>
              <w:top w:val="single" w:sz="8" w:color="FF0C07"/>
              <w:bottom w:val="single" w:sz="8" w:color="FF0C07"/>
            </w:tcBorders>
          </w:tcPr>
          <w:p>
            <w:pPr>
              <w:jc w:val="center"/>
              <w:spacing w:after="0"/>
              <w:rPr>
                <w:sz w:val="20"/>
                <w:szCs w:val="20"/>
                <w:color w:val="auto"/>
              </w:rPr>
            </w:pPr>
            <w:r>
              <w:rPr>
                <w:rFonts w:ascii="Arial" w:cs="Arial" w:eastAsia="Arial" w:hAnsi="Arial"/>
                <w:sz w:val="10"/>
                <w:szCs w:val="10"/>
                <w:b w:val="1"/>
                <w:bCs w:val="1"/>
                <w:color w:val="auto"/>
                <w:w w:val="93"/>
              </w:rPr>
              <w:t>(d)</w:t>
            </w:r>
          </w:p>
        </w:tc>
        <w:tc>
          <w:tcPr>
            <w:tcW w:w="100" w:type="dxa"/>
            <w:vAlign w:val="bottom"/>
          </w:tcPr>
          <w:p>
            <w:pPr>
              <w:spacing w:after="0"/>
              <w:rPr>
                <w:sz w:val="11"/>
                <w:szCs w:val="11"/>
                <w:color w:val="auto"/>
              </w:rPr>
            </w:pPr>
          </w:p>
        </w:tc>
        <w:tc>
          <w:tcPr>
            <w:tcW w:w="980" w:type="dxa"/>
            <w:vAlign w:val="bottom"/>
            <w:tcBorders>
              <w:top w:val="single" w:sz="8" w:color="FF0C07"/>
              <w:bottom w:val="single" w:sz="8" w:color="FF0C07"/>
            </w:tcBorders>
          </w:tcPr>
          <w:p>
            <w:pPr>
              <w:jc w:val="center"/>
              <w:spacing w:after="0"/>
              <w:rPr>
                <w:sz w:val="20"/>
                <w:szCs w:val="20"/>
                <w:color w:val="auto"/>
              </w:rPr>
            </w:pPr>
            <w:r>
              <w:rPr>
                <w:rFonts w:ascii="Arial" w:cs="Arial" w:eastAsia="Arial" w:hAnsi="Arial"/>
                <w:sz w:val="10"/>
                <w:szCs w:val="10"/>
                <w:b w:val="1"/>
                <w:bCs w:val="1"/>
                <w:color w:val="auto"/>
                <w:w w:val="97"/>
              </w:rPr>
              <w:t>(e)</w:t>
            </w:r>
          </w:p>
        </w:tc>
        <w:tc>
          <w:tcPr>
            <w:tcW w:w="120" w:type="dxa"/>
            <w:vAlign w:val="bottom"/>
          </w:tcPr>
          <w:p>
            <w:pPr>
              <w:spacing w:after="0"/>
              <w:rPr>
                <w:sz w:val="11"/>
                <w:szCs w:val="11"/>
                <w:color w:val="auto"/>
              </w:rPr>
            </w:pPr>
          </w:p>
        </w:tc>
        <w:tc>
          <w:tcPr>
            <w:tcW w:w="980" w:type="dxa"/>
            <w:vAlign w:val="bottom"/>
            <w:tcBorders>
              <w:top w:val="single" w:sz="8" w:color="FF0C07"/>
              <w:bottom w:val="single" w:sz="8" w:color="FF0C07"/>
            </w:tcBorders>
          </w:tcPr>
          <w:p>
            <w:pPr>
              <w:jc w:val="center"/>
              <w:spacing w:after="0"/>
              <w:rPr>
                <w:sz w:val="20"/>
                <w:szCs w:val="20"/>
                <w:color w:val="auto"/>
              </w:rPr>
            </w:pPr>
            <w:r>
              <w:rPr>
                <w:rFonts w:ascii="Arial" w:cs="Arial" w:eastAsia="Arial" w:hAnsi="Arial"/>
                <w:sz w:val="10"/>
                <w:szCs w:val="10"/>
                <w:b w:val="1"/>
                <w:bCs w:val="1"/>
                <w:color w:val="auto"/>
                <w:w w:val="99"/>
              </w:rPr>
              <w:t>(f)</w:t>
            </w:r>
          </w:p>
        </w:tc>
        <w:tc>
          <w:tcPr>
            <w:tcW w:w="100" w:type="dxa"/>
            <w:vAlign w:val="bottom"/>
          </w:tcPr>
          <w:p>
            <w:pPr>
              <w:spacing w:after="0"/>
              <w:rPr>
                <w:sz w:val="11"/>
                <w:szCs w:val="11"/>
                <w:color w:val="auto"/>
              </w:rPr>
            </w:pPr>
          </w:p>
        </w:tc>
        <w:tc>
          <w:tcPr>
            <w:tcW w:w="1000" w:type="dxa"/>
            <w:vAlign w:val="bottom"/>
            <w:tcBorders>
              <w:top w:val="single" w:sz="8" w:color="FF0C07"/>
              <w:bottom w:val="single" w:sz="8" w:color="FF0C07"/>
            </w:tcBorders>
          </w:tcPr>
          <w:p>
            <w:pPr>
              <w:jc w:val="center"/>
              <w:spacing w:after="0"/>
              <w:rPr>
                <w:sz w:val="20"/>
                <w:szCs w:val="20"/>
                <w:color w:val="auto"/>
              </w:rPr>
            </w:pPr>
            <w:r>
              <w:rPr>
                <w:rFonts w:ascii="Arial" w:cs="Arial" w:eastAsia="Arial" w:hAnsi="Arial"/>
                <w:sz w:val="10"/>
                <w:szCs w:val="10"/>
                <w:b w:val="1"/>
                <w:bCs w:val="1"/>
                <w:color w:val="auto"/>
                <w:w w:val="93"/>
              </w:rPr>
              <w:t>(g)</w:t>
            </w:r>
          </w:p>
        </w:tc>
        <w:tc>
          <w:tcPr>
            <w:tcW w:w="100" w:type="dxa"/>
            <w:vAlign w:val="bottom"/>
          </w:tcPr>
          <w:p>
            <w:pPr>
              <w:spacing w:after="0"/>
              <w:rPr>
                <w:sz w:val="11"/>
                <w:szCs w:val="11"/>
                <w:color w:val="auto"/>
              </w:rPr>
            </w:pPr>
          </w:p>
        </w:tc>
        <w:tc>
          <w:tcPr>
            <w:tcW w:w="980" w:type="dxa"/>
            <w:vAlign w:val="bottom"/>
            <w:tcBorders>
              <w:top w:val="single" w:sz="8" w:color="FF0C07"/>
              <w:bottom w:val="single" w:sz="8" w:color="FF0C07"/>
            </w:tcBorders>
          </w:tcPr>
          <w:p>
            <w:pPr>
              <w:jc w:val="center"/>
              <w:spacing w:after="0"/>
              <w:rPr>
                <w:sz w:val="20"/>
                <w:szCs w:val="20"/>
                <w:color w:val="auto"/>
              </w:rPr>
            </w:pPr>
            <w:r>
              <w:rPr>
                <w:rFonts w:ascii="Arial" w:cs="Arial" w:eastAsia="Arial" w:hAnsi="Arial"/>
                <w:sz w:val="10"/>
                <w:szCs w:val="10"/>
                <w:b w:val="1"/>
                <w:bCs w:val="1"/>
                <w:color w:val="auto"/>
                <w:w w:val="93"/>
              </w:rPr>
              <w:t>(h)</w:t>
            </w:r>
          </w:p>
        </w:tc>
        <w:tc>
          <w:tcPr>
            <w:tcW w:w="120" w:type="dxa"/>
            <w:vAlign w:val="bottom"/>
          </w:tcPr>
          <w:p>
            <w:pPr>
              <w:spacing w:after="0"/>
              <w:rPr>
                <w:sz w:val="11"/>
                <w:szCs w:val="11"/>
                <w:color w:val="auto"/>
              </w:rPr>
            </w:pPr>
          </w:p>
        </w:tc>
        <w:tc>
          <w:tcPr>
            <w:tcW w:w="980" w:type="dxa"/>
            <w:vAlign w:val="bottom"/>
            <w:tcBorders>
              <w:top w:val="single" w:sz="8" w:color="FF0C07"/>
              <w:bottom w:val="single" w:sz="8" w:color="FF0C07"/>
            </w:tcBorders>
          </w:tcPr>
          <w:p>
            <w:pPr>
              <w:jc w:val="center"/>
              <w:spacing w:after="0"/>
              <w:rPr>
                <w:sz w:val="20"/>
                <w:szCs w:val="20"/>
                <w:color w:val="auto"/>
              </w:rPr>
            </w:pPr>
            <w:r>
              <w:rPr>
                <w:rFonts w:ascii="Arial" w:cs="Arial" w:eastAsia="Arial" w:hAnsi="Arial"/>
                <w:sz w:val="10"/>
                <w:szCs w:val="10"/>
                <w:b w:val="1"/>
                <w:bCs w:val="1"/>
                <w:color w:val="auto"/>
              </w:rPr>
              <w:t>(i)</w:t>
            </w:r>
          </w:p>
        </w:tc>
        <w:tc>
          <w:tcPr>
            <w:tcW w:w="100" w:type="dxa"/>
            <w:vAlign w:val="bottom"/>
          </w:tcPr>
          <w:p>
            <w:pPr>
              <w:spacing w:after="0"/>
              <w:rPr>
                <w:sz w:val="11"/>
                <w:szCs w:val="11"/>
                <w:color w:val="auto"/>
              </w:rPr>
            </w:pPr>
          </w:p>
        </w:tc>
        <w:tc>
          <w:tcPr>
            <w:tcW w:w="1000" w:type="dxa"/>
            <w:vAlign w:val="bottom"/>
            <w:tcBorders>
              <w:top w:val="single" w:sz="8" w:color="FF0C07"/>
              <w:bottom w:val="single" w:sz="8" w:color="FF0C07"/>
            </w:tcBorders>
          </w:tcPr>
          <w:p>
            <w:pPr>
              <w:jc w:val="center"/>
              <w:spacing w:after="0"/>
              <w:rPr>
                <w:sz w:val="20"/>
                <w:szCs w:val="20"/>
                <w:color w:val="auto"/>
              </w:rPr>
            </w:pPr>
            <w:r>
              <w:rPr>
                <w:rFonts w:ascii="Arial" w:cs="Arial" w:eastAsia="Arial" w:hAnsi="Arial"/>
                <w:sz w:val="10"/>
                <w:szCs w:val="10"/>
                <w:b w:val="1"/>
                <w:bCs w:val="1"/>
                <w:color w:val="auto"/>
                <w:w w:val="84"/>
              </w:rPr>
              <w:t>(j)</w:t>
            </w:r>
          </w:p>
        </w:tc>
        <w:tc>
          <w:tcPr>
            <w:tcW w:w="100" w:type="dxa"/>
            <w:vAlign w:val="bottom"/>
          </w:tcPr>
          <w:p>
            <w:pPr>
              <w:spacing w:after="0"/>
              <w:rPr>
                <w:sz w:val="11"/>
                <w:szCs w:val="11"/>
                <w:color w:val="auto"/>
              </w:rPr>
            </w:pPr>
          </w:p>
        </w:tc>
        <w:tc>
          <w:tcPr>
            <w:tcW w:w="780" w:type="dxa"/>
            <w:vAlign w:val="bottom"/>
            <w:tcBorders>
              <w:top w:val="single" w:sz="8" w:color="FF0C07"/>
              <w:bottom w:val="single" w:sz="8" w:color="FF0C07"/>
            </w:tcBorders>
          </w:tcPr>
          <w:p>
            <w:pPr>
              <w:jc w:val="right"/>
              <w:ind w:right="288"/>
              <w:spacing w:after="0"/>
              <w:rPr>
                <w:sz w:val="20"/>
                <w:szCs w:val="20"/>
                <w:color w:val="auto"/>
              </w:rPr>
            </w:pPr>
            <w:r>
              <w:rPr>
                <w:rFonts w:ascii="Arial" w:cs="Arial" w:eastAsia="Arial" w:hAnsi="Arial"/>
                <w:sz w:val="10"/>
                <w:szCs w:val="10"/>
                <w:b w:val="1"/>
                <w:bCs w:val="1"/>
                <w:color w:val="auto"/>
              </w:rPr>
              <w:t>(k)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20"/>
                <w:szCs w:val="20"/>
                <w:color w:val="auto"/>
              </w:rPr>
            </w:pPr>
            <w:r>
              <w:rPr>
                <w:rFonts w:ascii="Arial" w:cs="Arial" w:eastAsia="Arial" w:hAnsi="Arial"/>
                <w:sz w:val="11"/>
                <w:szCs w:val="11"/>
                <w:color w:val="auto"/>
                <w:w w:val="97"/>
              </w:rPr>
              <w:t>2022</w:t>
            </w:r>
          </w:p>
        </w:tc>
        <w:tc>
          <w:tcPr>
            <w:tcW w:w="12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$11,392,553</w:t>
            </w:r>
          </w:p>
        </w:tc>
        <w:tc>
          <w:tcPr>
            <w:tcW w:w="1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$5,138,863</w:t>
            </w:r>
          </w:p>
        </w:tc>
        <w:tc>
          <w:tcPr>
            <w:tcW w:w="1080" w:type="dxa"/>
            <w:vAlign w:val="bottom"/>
            <w:gridSpan w:val="2"/>
          </w:tcPr>
          <w:p>
            <w:pPr>
              <w:jc w:val="right"/>
              <w:ind w:right="100"/>
              <w:spacing w:after="0"/>
              <w:rPr>
                <w:sz w:val="20"/>
                <w:szCs w:val="20"/>
                <w:color w:val="auto"/>
              </w:rPr>
            </w:pPr>
            <w:r>
              <w:rPr>
                <w:rFonts w:ascii="Arial" w:cs="Arial" w:eastAsia="Arial" w:hAnsi="Arial"/>
                <w:sz w:val="11"/>
                <w:szCs w:val="11"/>
                <w:color w:val="auto"/>
              </w:rPr>
              <w:t>$4,444,562</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$2,529,882</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$146.18</w:t>
            </w:r>
          </w:p>
        </w:tc>
        <w:tc>
          <w:tcPr>
            <w:tcW w:w="1080" w:type="dxa"/>
            <w:vAlign w:val="bottom"/>
            <w:gridSpan w:val="2"/>
          </w:tcPr>
          <w:p>
            <w:pPr>
              <w:jc w:val="right"/>
              <w:ind w:right="100"/>
              <w:spacing w:after="0"/>
              <w:rPr>
                <w:sz w:val="20"/>
                <w:szCs w:val="20"/>
                <w:color w:val="auto"/>
              </w:rPr>
            </w:pPr>
            <w:r>
              <w:rPr>
                <w:rFonts w:ascii="Arial" w:cs="Arial" w:eastAsia="Arial" w:hAnsi="Arial"/>
                <w:sz w:val="11"/>
                <w:szCs w:val="11"/>
                <w:color w:val="auto"/>
              </w:rPr>
              <w:t>$149.98</w:t>
            </w:r>
          </w:p>
        </w:tc>
        <w:tc>
          <w:tcPr>
            <w:tcW w:w="1000" w:type="dxa"/>
            <w:vAlign w:val="bottom"/>
          </w:tcPr>
          <w:p>
            <w:pPr>
              <w:jc w:val="right"/>
              <w:spacing w:after="0"/>
              <w:rPr>
                <w:sz w:val="20"/>
                <w:szCs w:val="20"/>
                <w:color w:val="auto"/>
              </w:rPr>
            </w:pPr>
            <w:r>
              <w:rPr>
                <w:rFonts w:ascii="Arial" w:cs="Arial" w:eastAsia="Arial" w:hAnsi="Arial"/>
                <w:sz w:val="11"/>
                <w:szCs w:val="11"/>
                <w:color w:val="auto"/>
              </w:rPr>
              <w:t>$109,418,000</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$489,723,000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line="122" w:lineRule="exact"/>
              <w:rPr>
                <w:sz w:val="20"/>
                <w:szCs w:val="20"/>
                <w:color w:val="auto"/>
              </w:rPr>
            </w:pPr>
            <w:r>
              <w:rPr>
                <w:rFonts w:ascii="Arial" w:cs="Arial" w:eastAsia="Arial" w:hAnsi="Arial"/>
                <w:sz w:val="11"/>
                <w:szCs w:val="11"/>
                <w:color w:val="auto"/>
                <w:w w:val="97"/>
              </w:rPr>
              <w:t>2021</w:t>
            </w:r>
          </w:p>
        </w:tc>
        <w:tc>
          <w:tcPr>
            <w:tcW w:w="120" w:type="dxa"/>
            <w:vAlign w:val="bottom"/>
          </w:tcPr>
          <w:p>
            <w:pPr>
              <w:spacing w:after="0"/>
              <w:rPr>
                <w:sz w:val="10"/>
                <w:szCs w:val="10"/>
                <w:color w:val="auto"/>
              </w:rPr>
            </w:pPr>
          </w:p>
        </w:tc>
        <w:tc>
          <w:tcPr>
            <w:tcW w:w="11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$20,875,111</w:t>
            </w: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$16,450,909</w:t>
            </w:r>
          </w:p>
        </w:tc>
        <w:tc>
          <w:tcPr>
            <w:tcW w:w="11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$9,396,664</w:t>
            </w:r>
          </w:p>
        </w:tc>
        <w:tc>
          <w:tcPr>
            <w:tcW w:w="11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$12,827,121</w:t>
            </w: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$4,140,001</w:t>
            </w:r>
          </w:p>
        </w:tc>
        <w:tc>
          <w:tcPr>
            <w:tcW w:w="11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$5,326,529</w:t>
            </w:r>
          </w:p>
        </w:tc>
        <w:tc>
          <w:tcPr>
            <w:tcW w:w="11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$164.59</w:t>
            </w: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$206.76</w:t>
            </w:r>
          </w:p>
        </w:tc>
        <w:tc>
          <w:tcPr>
            <w:tcW w:w="1000" w:type="dxa"/>
            <w:vAlign w:val="bottom"/>
          </w:tcPr>
          <w:p>
            <w:pPr>
              <w:jc w:val="right"/>
              <w:spacing w:after="0" w:line="122" w:lineRule="exact"/>
              <w:rPr>
                <w:sz w:val="20"/>
                <w:szCs w:val="20"/>
                <w:color w:val="auto"/>
              </w:rPr>
            </w:pPr>
            <w:r>
              <w:rPr>
                <w:rFonts w:ascii="Arial" w:cs="Arial" w:eastAsia="Arial" w:hAnsi="Arial"/>
                <w:sz w:val="11"/>
                <w:szCs w:val="11"/>
                <w:color w:val="auto"/>
              </w:rPr>
              <w:t>$70,960,000</w:t>
            </w:r>
          </w:p>
        </w:tc>
        <w:tc>
          <w:tcPr>
            <w:tcW w:w="100" w:type="dxa"/>
            <w:vAlign w:val="bottom"/>
          </w:tcPr>
          <w:p>
            <w:pPr>
              <w:spacing w:after="0"/>
              <w:rPr>
                <w:sz w:val="10"/>
                <w:szCs w:val="10"/>
                <w:color w:val="auto"/>
              </w:rPr>
            </w:pPr>
          </w:p>
        </w:tc>
        <w:tc>
          <w:tcPr>
            <w:tcW w:w="8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$411,172,000</w:t>
            </w:r>
          </w:p>
        </w:tc>
        <w:tc>
          <w:tcPr>
            <w:tcW w:w="0" w:type="dxa"/>
            <w:vAlign w:val="bottom"/>
          </w:tcPr>
          <w:p>
            <w:pPr>
              <w:spacing w:after="0"/>
              <w:rPr>
                <w:sz w:val="1"/>
                <w:szCs w:val="1"/>
                <w:color w:val="auto"/>
              </w:rPr>
            </w:pPr>
          </w:p>
        </w:tc>
      </w:tr>
      <w:tr>
        <w:trPr>
          <w:trHeight w:val="194"/>
        </w:trPr>
        <w:tc>
          <w:tcPr>
            <w:tcW w:w="260" w:type="dxa"/>
            <w:vAlign w:val="bottom"/>
          </w:tcPr>
          <w:p>
            <w:pPr>
              <w:spacing w:after="0"/>
              <w:rPr>
                <w:sz w:val="20"/>
                <w:szCs w:val="20"/>
                <w:color w:val="auto"/>
              </w:rPr>
            </w:pPr>
            <w:r>
              <w:rPr>
                <w:rFonts w:ascii="Arial" w:cs="Arial" w:eastAsia="Arial" w:hAnsi="Arial"/>
                <w:sz w:val="11"/>
                <w:szCs w:val="11"/>
                <w:color w:val="auto"/>
                <w:w w:val="97"/>
              </w:rPr>
              <w:t>2020</w:t>
            </w: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$22,398,351</w:t>
            </w:r>
          </w:p>
        </w:tc>
        <w:tc>
          <w:tcPr>
            <w:tcW w:w="1080" w:type="dxa"/>
            <w:vAlign w:val="bottom"/>
            <w:gridSpan w:val="2"/>
          </w:tcPr>
          <w:p>
            <w:pPr>
              <w:jc w:val="right"/>
              <w:ind w:right="100"/>
              <w:spacing w:after="0"/>
              <w:rPr>
                <w:sz w:val="20"/>
                <w:szCs w:val="20"/>
                <w:color w:val="auto"/>
              </w:rPr>
            </w:pPr>
            <w:r>
              <w:rPr>
                <w:rFonts w:ascii="Arial" w:cs="Arial" w:eastAsia="Arial" w:hAnsi="Arial"/>
                <w:sz w:val="11"/>
                <w:szCs w:val="11"/>
                <w:color w:val="auto"/>
              </w:rPr>
              <w:t>$30,358,397</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1"/>
                <w:szCs w:val="11"/>
                <w:color w:val="auto"/>
              </w:rPr>
              <w:t>$4,516,347</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$5,326,614</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$134.62</w:t>
            </w:r>
          </w:p>
        </w:tc>
        <w:tc>
          <w:tcPr>
            <w:tcW w:w="1080" w:type="dxa"/>
            <w:vAlign w:val="bottom"/>
            <w:gridSpan w:val="2"/>
          </w:tcPr>
          <w:p>
            <w:pPr>
              <w:jc w:val="right"/>
              <w:ind w:right="100"/>
              <w:spacing w:after="0"/>
              <w:rPr>
                <w:sz w:val="20"/>
                <w:szCs w:val="20"/>
                <w:color w:val="auto"/>
              </w:rPr>
            </w:pPr>
            <w:r>
              <w:rPr>
                <w:rFonts w:ascii="Arial" w:cs="Arial" w:eastAsia="Arial" w:hAnsi="Arial"/>
                <w:sz w:val="11"/>
                <w:szCs w:val="11"/>
                <w:color w:val="auto"/>
              </w:rPr>
              <w:t>$132.79</w:t>
            </w:r>
          </w:p>
        </w:tc>
        <w:tc>
          <w:tcPr>
            <w:tcW w:w="1000" w:type="dxa"/>
            <w:vAlign w:val="bottom"/>
          </w:tcPr>
          <w:p>
            <w:pPr>
              <w:jc w:val="right"/>
              <w:spacing w:after="0"/>
              <w:rPr>
                <w:sz w:val="20"/>
                <w:szCs w:val="20"/>
                <w:color w:val="auto"/>
              </w:rPr>
            </w:pPr>
            <w:r>
              <w:rPr>
                <w:rFonts w:ascii="Arial" w:cs="Arial" w:eastAsia="Arial" w:hAnsi="Arial"/>
                <w:sz w:val="11"/>
                <w:szCs w:val="11"/>
                <w:color w:val="auto"/>
              </w:rPr>
              <w:t>$91,572,000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$362,963,000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540" w:right="140" w:hanging="775"/>
        <w:spacing w:after="0" w:line="285" w:lineRule="auto"/>
        <w:tabs>
          <w:tab w:leader="none" w:pos="1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first PEO is Philippe F. Courtot, who served as PEO in 2020 and in 2021 through March 19, 2021. The second PEO is Sumedh S. Thakar, who served as PEO beginning on April 27, 2021 and in 2022.</w:t>
      </w:r>
    </w:p>
    <w:p>
      <w:pPr>
        <w:spacing w:after="0" w:line="63" w:lineRule="exact"/>
        <w:rPr>
          <w:rFonts w:ascii="Arial" w:cs="Arial" w:eastAsia="Arial" w:hAnsi="Arial"/>
          <w:sz w:val="14"/>
          <w:szCs w:val="14"/>
          <w:color w:val="auto"/>
        </w:rPr>
      </w:pPr>
    </w:p>
    <w:p>
      <w:pPr>
        <w:ind w:left="1540" w:hanging="775"/>
        <w:spacing w:after="0"/>
        <w:tabs>
          <w:tab w:leader="none" w:pos="1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total compensation paid to our PEO in each listed year, as shown in our Summary Compensation Table for such listed year.</w:t>
      </w:r>
    </w:p>
    <w:p>
      <w:pPr>
        <w:spacing w:after="0" w:line="122" w:lineRule="exact"/>
        <w:rPr>
          <w:rFonts w:ascii="Arial" w:cs="Arial" w:eastAsia="Arial" w:hAnsi="Arial"/>
          <w:sz w:val="14"/>
          <w:szCs w:val="14"/>
          <w:color w:val="auto"/>
        </w:rPr>
      </w:pPr>
    </w:p>
    <w:p>
      <w:pPr>
        <w:ind w:left="1540" w:right="100" w:hanging="775"/>
        <w:spacing w:after="0" w:line="263" w:lineRule="auto"/>
        <w:tabs>
          <w:tab w:leader="none" w:pos="1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Compensation actually paid does not mean that our PEOs were actually paid those amounts in the listed year, but this is a dollar amount derived by adjusting the Summary Compensation Table total compensation under the methodology prescribed under the relevant rules, as shown in the following tables: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First PEO</w:t>
            </w:r>
          </w:p>
        </w:tc>
        <w:tc>
          <w:tcPr>
            <w:tcW w:w="1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0" w:type="dxa"/>
            <w:vAlign w:val="bottom"/>
            <w:shd w:val="clear" w:color="auto" w:fill="549EFF"/>
          </w:tcPr>
          <w:p>
            <w:pPr>
              <w:spacing w:after="0"/>
              <w:rPr>
                <w:sz w:val="19"/>
                <w:szCs w:val="19"/>
                <w:color w:val="auto"/>
              </w:rPr>
            </w:pPr>
          </w:p>
        </w:tc>
        <w:tc>
          <w:tcPr>
            <w:tcW w:w="540" w:type="dxa"/>
            <w:vAlign w:val="bottom"/>
            <w:shd w:val="clear" w:color="auto" w:fill="549EFF"/>
          </w:tcPr>
          <w:p>
            <w:pPr>
              <w:spacing w:after="0"/>
              <w:rPr>
                <w:sz w:val="19"/>
                <w:szCs w:val="19"/>
                <w:color w:val="auto"/>
              </w:rPr>
            </w:pPr>
          </w:p>
        </w:tc>
        <w:tc>
          <w:tcPr>
            <w:tcW w:w="6160" w:type="dxa"/>
            <w:vAlign w:val="bottom"/>
            <w:shd w:val="clear" w:color="auto" w:fill="549EFF"/>
          </w:tcPr>
          <w:p>
            <w:pPr>
              <w:spacing w:after="0"/>
              <w:rPr>
                <w:sz w:val="19"/>
                <w:szCs w:val="19"/>
                <w:color w:val="auto"/>
              </w:rPr>
            </w:pPr>
          </w:p>
        </w:tc>
        <w:tc>
          <w:tcPr>
            <w:tcW w:w="1700" w:type="dxa"/>
            <w:vAlign w:val="bottom"/>
            <w:shd w:val="clear" w:color="auto" w:fill="549EFF"/>
          </w:tcPr>
          <w:p>
            <w:pPr>
              <w:jc w:val="right"/>
              <w:ind w:right="568"/>
              <w:spacing w:after="0"/>
              <w:rPr>
                <w:sz w:val="20"/>
                <w:szCs w:val="20"/>
                <w:color w:val="auto"/>
              </w:rPr>
            </w:pPr>
            <w:r>
              <w:rPr>
                <w:rFonts w:ascii="Arial" w:cs="Arial" w:eastAsia="Arial" w:hAnsi="Arial"/>
                <w:sz w:val="14"/>
                <w:szCs w:val="14"/>
                <w:b w:val="1"/>
                <w:bCs w:val="1"/>
                <w:color w:val="FFFFFF"/>
              </w:rPr>
              <w:t>2020</w:t>
            </w:r>
          </w:p>
        </w:tc>
        <w:tc>
          <w:tcPr>
            <w:tcW w:w="1460" w:type="dxa"/>
            <w:vAlign w:val="bottom"/>
            <w:shd w:val="clear" w:color="auto" w:fill="549EFF"/>
          </w:tcPr>
          <w:p>
            <w:pPr>
              <w:jc w:val="right"/>
              <w:ind w:right="628"/>
              <w:spacing w:after="0"/>
              <w:rPr>
                <w:sz w:val="20"/>
                <w:szCs w:val="20"/>
                <w:color w:val="auto"/>
              </w:rPr>
            </w:pPr>
            <w:r>
              <w:rPr>
                <w:rFonts w:ascii="Arial" w:cs="Arial" w:eastAsia="Arial" w:hAnsi="Arial"/>
                <w:sz w:val="14"/>
                <w:szCs w:val="14"/>
                <w:b w:val="1"/>
                <w:bCs w:val="1"/>
                <w:color w:val="FFFFFF"/>
              </w:rPr>
              <w:t>2021</w:t>
            </w:r>
          </w:p>
        </w:tc>
        <w:tc>
          <w:tcPr>
            <w:tcW w:w="1100" w:type="dxa"/>
            <w:vAlign w:val="bottom"/>
            <w:shd w:val="clear" w:color="auto" w:fill="549EFF"/>
          </w:tcPr>
          <w:p>
            <w:pPr>
              <w:jc w:val="right"/>
              <w:ind w:right="308"/>
              <w:spacing w:after="0"/>
              <w:rPr>
                <w:sz w:val="20"/>
                <w:szCs w:val="20"/>
                <w:color w:val="auto"/>
              </w:rPr>
            </w:pPr>
            <w:r>
              <w:rPr>
                <w:rFonts w:ascii="Arial" w:cs="Arial" w:eastAsia="Arial" w:hAnsi="Arial"/>
                <w:sz w:val="14"/>
                <w:szCs w:val="14"/>
                <w:b w:val="1"/>
                <w:bCs w:val="1"/>
                <w:color w:val="FFFFFF"/>
              </w:rPr>
              <w:t>2022</w:t>
            </w:r>
          </w:p>
        </w:tc>
      </w:tr>
      <w:tr>
        <w:trPr>
          <w:trHeight w:val="189"/>
        </w:trPr>
        <w:tc>
          <w:tcPr>
            <w:tcW w:w="60" w:type="dxa"/>
            <w:vAlign w:val="bottom"/>
          </w:tcPr>
          <w:p>
            <w:pPr>
              <w:spacing w:after="0"/>
              <w:rPr>
                <w:sz w:val="16"/>
                <w:szCs w:val="16"/>
                <w:color w:val="auto"/>
              </w:rPr>
            </w:pPr>
          </w:p>
        </w:tc>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Summary Compensation Table Total</w:t>
            </w:r>
          </w:p>
        </w:tc>
        <w:tc>
          <w:tcPr>
            <w:tcW w:w="1700" w:type="dxa"/>
            <w:vAlign w:val="bottom"/>
          </w:tcPr>
          <w:p>
            <w:pPr>
              <w:jc w:val="right"/>
              <w:ind w:right="288"/>
              <w:spacing w:after="0"/>
              <w:rPr>
                <w:sz w:val="20"/>
                <w:szCs w:val="20"/>
                <w:color w:val="auto"/>
              </w:rPr>
            </w:pPr>
            <w:r>
              <w:rPr>
                <w:rFonts w:ascii="Arial" w:cs="Arial" w:eastAsia="Arial" w:hAnsi="Arial"/>
                <w:sz w:val="14"/>
                <w:szCs w:val="14"/>
                <w:color w:val="auto"/>
              </w:rPr>
              <w:t>22,398,351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20,875,111</w:t>
            </w:r>
          </w:p>
        </w:tc>
        <w:tc>
          <w:tcPr>
            <w:tcW w:w="1100" w:type="dxa"/>
            <w:vAlign w:val="bottom"/>
          </w:tcPr>
          <w:p>
            <w:pPr>
              <w:ind w:left="820"/>
              <w:spacing w:after="0"/>
              <w:rPr>
                <w:sz w:val="20"/>
                <w:szCs w:val="20"/>
                <w:color w:val="auto"/>
              </w:rPr>
            </w:pPr>
            <w:r>
              <w:rPr>
                <w:rFonts w:ascii="Arial" w:cs="Arial" w:eastAsia="Arial" w:hAnsi="Arial"/>
                <w:sz w:val="14"/>
                <w:szCs w:val="14"/>
                <w:color w:val="auto"/>
              </w:rPr>
              <w:t>—</w:t>
            </w:r>
          </w:p>
        </w:tc>
      </w:tr>
      <w:tr>
        <w:trPr>
          <w:trHeight w:val="176"/>
        </w:trPr>
        <w:tc>
          <w:tcPr>
            <w:tcW w:w="60" w:type="dxa"/>
            <w:vAlign w:val="bottom"/>
            <w:shd w:val="clear" w:color="auto" w:fill="DDF2F9"/>
          </w:tcPr>
          <w:p>
            <w:pPr>
              <w:spacing w:after="0"/>
              <w:rPr>
                <w:sz w:val="15"/>
                <w:szCs w:val="15"/>
                <w:color w:val="auto"/>
              </w:rPr>
            </w:pPr>
          </w:p>
        </w:tc>
        <w:tc>
          <w:tcPr>
            <w:tcW w:w="6700" w:type="dxa"/>
            <w:vAlign w:val="bottom"/>
            <w:gridSpan w:val="2"/>
            <w:shd w:val="clear" w:color="auto" w:fill="DDF2F9"/>
          </w:tcPr>
          <w:p>
            <w:pPr>
              <w:spacing w:after="0"/>
              <w:rPr>
                <w:sz w:val="20"/>
                <w:szCs w:val="20"/>
                <w:color w:val="auto"/>
              </w:rPr>
            </w:pPr>
            <w:r>
              <w:rPr>
                <w:rFonts w:ascii="Arial" w:cs="Arial" w:eastAsia="Arial" w:hAnsi="Arial"/>
                <w:sz w:val="14"/>
                <w:szCs w:val="14"/>
                <w:color w:val="auto"/>
              </w:rPr>
              <w:t>Subtract Grant Date Fair Value of Option Awards and Stock Awards Granted in Fiscal Year</w:t>
            </w:r>
          </w:p>
        </w:tc>
        <w:tc>
          <w:tcPr>
            <w:tcW w:w="1700" w:type="dxa"/>
            <w:vAlign w:val="bottom"/>
            <w:shd w:val="clear" w:color="auto" w:fill="DDF2F9"/>
          </w:tcPr>
          <w:p>
            <w:pPr>
              <w:jc w:val="right"/>
              <w:ind w:right="288"/>
              <w:spacing w:after="0"/>
              <w:rPr>
                <w:sz w:val="20"/>
                <w:szCs w:val="20"/>
                <w:color w:val="auto"/>
              </w:rPr>
            </w:pPr>
            <w:r>
              <w:rPr>
                <w:rFonts w:ascii="Arial" w:cs="Arial" w:eastAsia="Arial" w:hAnsi="Arial"/>
                <w:sz w:val="14"/>
                <w:szCs w:val="14"/>
                <w:color w:val="auto"/>
              </w:rPr>
              <w:t>(21,560,357)</w:t>
            </w:r>
          </w:p>
        </w:tc>
        <w:tc>
          <w:tcPr>
            <w:tcW w:w="1460" w:type="dxa"/>
            <w:vAlign w:val="bottom"/>
            <w:shd w:val="clear" w:color="auto" w:fill="DDF2F9"/>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F2F9"/>
          </w:tcPr>
          <w:p>
            <w:pPr>
              <w:ind w:left="820"/>
              <w:spacing w:after="0"/>
              <w:rPr>
                <w:sz w:val="20"/>
                <w:szCs w:val="20"/>
                <w:color w:val="auto"/>
              </w:rPr>
            </w:pPr>
            <w:r>
              <w:rPr>
                <w:rFonts w:ascii="Arial" w:cs="Arial" w:eastAsia="Arial" w:hAnsi="Arial"/>
                <w:sz w:val="14"/>
                <w:szCs w:val="14"/>
                <w:color w:val="auto"/>
              </w:rPr>
              <w:t>—</w:t>
            </w:r>
          </w:p>
        </w:tc>
      </w:tr>
      <w:tr>
        <w:trPr>
          <w:trHeight w:val="20"/>
        </w:trPr>
        <w:tc>
          <w:tcPr>
            <w:tcW w:w="60" w:type="dxa"/>
            <w:vAlign w:val="bottom"/>
            <w:tcBorders>
              <w:top w:val="single" w:sz="8" w:color="DDF2F9"/>
            </w:tcBorders>
            <w:shd w:val="clear" w:color="auto" w:fill="DDF2F9"/>
          </w:tcPr>
          <w:p>
            <w:pPr>
              <w:spacing w:after="0" w:line="20" w:lineRule="exact"/>
              <w:rPr>
                <w:sz w:val="1"/>
                <w:szCs w:val="1"/>
                <w:color w:val="auto"/>
              </w:rPr>
            </w:pPr>
          </w:p>
        </w:tc>
        <w:tc>
          <w:tcPr>
            <w:tcW w:w="540" w:type="dxa"/>
            <w:vAlign w:val="bottom"/>
            <w:tcBorders>
              <w:top w:val="single" w:sz="8" w:color="auto"/>
            </w:tcBorders>
            <w:shd w:val="clear" w:color="auto" w:fill="DDF2F9"/>
          </w:tcPr>
          <w:p>
            <w:pPr>
              <w:spacing w:after="0" w:line="20" w:lineRule="exact"/>
              <w:rPr>
                <w:sz w:val="1"/>
                <w:szCs w:val="1"/>
                <w:color w:val="auto"/>
              </w:rPr>
            </w:pPr>
          </w:p>
        </w:tc>
        <w:tc>
          <w:tcPr>
            <w:tcW w:w="6160" w:type="dxa"/>
            <w:vAlign w:val="bottom"/>
            <w:tcBorders>
              <w:top w:val="single" w:sz="8" w:color="DDF2F9"/>
            </w:tcBorders>
            <w:shd w:val="clear" w:color="auto" w:fill="DDF2F9"/>
          </w:tcPr>
          <w:p>
            <w:pPr>
              <w:spacing w:after="0" w:line="20" w:lineRule="exact"/>
              <w:rPr>
                <w:sz w:val="1"/>
                <w:szCs w:val="1"/>
                <w:color w:val="auto"/>
              </w:rPr>
            </w:pPr>
          </w:p>
        </w:tc>
        <w:tc>
          <w:tcPr>
            <w:tcW w:w="1700" w:type="dxa"/>
            <w:vAlign w:val="bottom"/>
            <w:tcBorders>
              <w:top w:val="single" w:sz="8" w:color="DDF2F9"/>
            </w:tcBorders>
            <w:shd w:val="clear" w:color="auto" w:fill="DDF2F9"/>
          </w:tcPr>
          <w:p>
            <w:pPr>
              <w:spacing w:after="0" w:line="20" w:lineRule="exact"/>
              <w:rPr>
                <w:sz w:val="1"/>
                <w:szCs w:val="1"/>
                <w:color w:val="auto"/>
              </w:rPr>
            </w:pPr>
          </w:p>
        </w:tc>
        <w:tc>
          <w:tcPr>
            <w:tcW w:w="1460" w:type="dxa"/>
            <w:vAlign w:val="bottom"/>
            <w:tcBorders>
              <w:top w:val="single" w:sz="8" w:color="DDF2F9"/>
            </w:tcBorders>
            <w:shd w:val="clear" w:color="auto" w:fill="DDF2F9"/>
          </w:tcPr>
          <w:p>
            <w:pPr>
              <w:spacing w:after="0" w:line="20" w:lineRule="exact"/>
              <w:rPr>
                <w:sz w:val="1"/>
                <w:szCs w:val="1"/>
                <w:color w:val="auto"/>
              </w:rPr>
            </w:pPr>
          </w:p>
        </w:tc>
        <w:tc>
          <w:tcPr>
            <w:tcW w:w="1100" w:type="dxa"/>
            <w:vAlign w:val="bottom"/>
            <w:tcBorders>
              <w:top w:val="single" w:sz="8" w:color="DDF2F9"/>
            </w:tcBorders>
            <w:shd w:val="clear" w:color="auto" w:fill="DDF2F9"/>
          </w:tcPr>
          <w:p>
            <w:pPr>
              <w:spacing w:after="0" w:line="20" w:lineRule="exact"/>
              <w:rPr>
                <w:sz w:val="1"/>
                <w:szCs w:val="1"/>
                <w:color w:val="auto"/>
              </w:rPr>
            </w:pPr>
          </w:p>
        </w:tc>
      </w:tr>
    </w:tbl>
    <w:p>
      <w:pPr>
        <w:spacing w:after="0" w:line="18" w:lineRule="exact"/>
        <w:rPr>
          <w:sz w:val="20"/>
          <w:szCs w:val="20"/>
          <w:color w:val="auto"/>
        </w:rPr>
      </w:pPr>
    </w:p>
    <w:p>
      <w:pPr>
        <w:sectPr>
          <w:pgSz w:w="11900" w:h="16838" w:orient="portrait"/>
          <w:cols w:equalWidth="0" w:num="1">
            <w:col w:w="11020"/>
          </w:cols>
          <w:pgMar w:left="440" w:top="122" w:right="439" w:bottom="1440" w:gutter="0" w:footer="0" w:header="0"/>
        </w:sectPr>
      </w:pPr>
    </w:p>
    <w:p>
      <w:pPr>
        <w:ind w:left="60" w:right="400"/>
        <w:spacing w:after="0" w:line="281" w:lineRule="auto"/>
        <w:rPr>
          <w:sz w:val="20"/>
          <w:szCs w:val="20"/>
          <w:color w:val="auto"/>
        </w:rPr>
      </w:pPr>
      <w:r>
        <w:rPr>
          <w:rFonts w:ascii="Arial" w:cs="Arial" w:eastAsia="Arial" w:hAnsi="Arial"/>
          <w:sz w:val="14"/>
          <w:szCs w:val="14"/>
          <w:u w:val="single" w:color="auto"/>
          <w:color w:val="auto"/>
        </w:rPr>
        <w:t>Add</w:t>
      </w:r>
      <w:r>
        <w:rPr>
          <w:rFonts w:ascii="Arial" w:cs="Arial" w:eastAsia="Arial" w:hAnsi="Arial"/>
          <w:sz w:val="14"/>
          <w:szCs w:val="14"/>
          <w:color w:val="auto"/>
        </w:rPr>
        <w:t xml:space="preserve"> Fair Value at Fiscal Year-End of Outstanding and Unvested Option Awards and Stock Awards Granted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4294505" cy="240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94505" cy="240030"/>
                    </a:xfrm>
                    <a:prstGeom prst="rect">
                      <a:avLst/>
                    </a:prstGeom>
                    <a:noFill/>
                  </pic:spPr>
                </pic:pic>
              </a:graphicData>
            </a:graphic>
          </wp:anchor>
        </w:drawing>
      </w:r>
    </w:p>
    <w:p>
      <w:pPr>
        <w:ind w:left="60"/>
        <w:spacing w:after="0" w:line="281" w:lineRule="auto"/>
        <w:rPr>
          <w:sz w:val="20"/>
          <w:szCs w:val="20"/>
          <w:color w:val="auto"/>
        </w:rPr>
      </w:pPr>
      <w:r>
        <w:rPr>
          <w:rFonts w:ascii="Arial" w:cs="Arial" w:eastAsia="Arial" w:hAnsi="Arial"/>
          <w:sz w:val="14"/>
          <w:szCs w:val="14"/>
          <w:u w:val="single" w:color="auto"/>
          <w:color w:val="auto"/>
        </w:rPr>
        <w:t>Adjust for</w:t>
      </w:r>
      <w:r>
        <w:rPr>
          <w:rFonts w:ascii="Arial" w:cs="Arial" w:eastAsia="Arial" w:hAnsi="Arial"/>
          <w:sz w:val="14"/>
          <w:szCs w:val="14"/>
          <w:color w:val="auto"/>
        </w:rPr>
        <w:t xml:space="preserve"> Change in Fair Value of Outstanding and Unvested Option Awards and Stock Awards Granted in Prior Fiscal Years</w:t>
      </w:r>
    </w:p>
    <w:p>
      <w:pPr>
        <w:spacing w:after="0" w:line="1" w:lineRule="exact"/>
        <w:rPr>
          <w:sz w:val="20"/>
          <w:szCs w:val="20"/>
          <w:color w:val="auto"/>
        </w:rPr>
      </w:pPr>
    </w:p>
    <w:p>
      <w:pPr>
        <w:ind w:left="60" w:right="60"/>
        <w:spacing w:after="0" w:line="281" w:lineRule="auto"/>
        <w:rPr>
          <w:sz w:val="20"/>
          <w:szCs w:val="20"/>
          <w:color w:val="auto"/>
        </w:rPr>
      </w:pPr>
      <w:r>
        <w:rPr>
          <w:rFonts w:ascii="Arial" w:cs="Arial" w:eastAsia="Arial" w:hAnsi="Arial"/>
          <w:sz w:val="14"/>
          <w:szCs w:val="14"/>
          <w:u w:val="single" w:color="auto"/>
          <w:color w:val="auto"/>
        </w:rPr>
        <w:t>Adjust for</w:t>
      </w:r>
      <w:r>
        <w:rPr>
          <w:rFonts w:ascii="Arial" w:cs="Arial" w:eastAsia="Arial" w:hAnsi="Arial"/>
          <w:sz w:val="14"/>
          <w:szCs w:val="14"/>
          <w:color w:val="auto"/>
        </w:rPr>
        <w:t xml:space="preserve"> Fair Value at Vesting of Option Awards and Stock Awards Granted in Fiscal Year That Vested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4294505" cy="2400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94505" cy="240030"/>
                    </a:xfrm>
                    <a:prstGeom prst="rect">
                      <a:avLst/>
                    </a:prstGeom>
                    <a:noFill/>
                  </pic:spPr>
                </pic:pic>
              </a:graphicData>
            </a:graphic>
          </wp:anchor>
        </w:drawing>
      </w:r>
    </w:p>
    <w:p>
      <w:pPr>
        <w:ind w:left="60" w:right="40"/>
        <w:spacing w:after="0" w:line="281" w:lineRule="auto"/>
        <w:rPr>
          <w:sz w:val="20"/>
          <w:szCs w:val="20"/>
          <w:color w:val="auto"/>
        </w:rPr>
      </w:pPr>
      <w:r>
        <w:rPr>
          <w:rFonts w:ascii="Arial" w:cs="Arial" w:eastAsia="Arial" w:hAnsi="Arial"/>
          <w:sz w:val="14"/>
          <w:szCs w:val="14"/>
          <w:color w:val="auto"/>
        </w:rPr>
        <w:t>Adjust for Change in Fair Value as of Vesting Date of Option Awards and Stock Awards Granted in Prior Fiscal Years For Which Applicable Vesting Conditions Were Satisfied During Fiscal Year</w:t>
      </w:r>
    </w:p>
    <w:p>
      <w:pPr>
        <w:spacing w:after="0" w:line="1" w:lineRule="exact"/>
        <w:rPr>
          <w:sz w:val="20"/>
          <w:szCs w:val="20"/>
          <w:color w:val="auto"/>
        </w:rPr>
      </w:pPr>
    </w:p>
    <w:p>
      <w:pPr>
        <w:ind w:left="60" w:right="280"/>
        <w:spacing w:after="0" w:line="281" w:lineRule="auto"/>
        <w:rPr>
          <w:sz w:val="20"/>
          <w:szCs w:val="20"/>
          <w:color w:val="auto"/>
        </w:rPr>
      </w:pPr>
      <w:r>
        <w:rPr>
          <w:rFonts w:ascii="Arial" w:cs="Arial" w:eastAsia="Arial" w:hAnsi="Arial"/>
          <w:sz w:val="14"/>
          <w:szCs w:val="14"/>
          <w:u w:val="single" w:color="auto"/>
          <w:color w:val="auto"/>
        </w:rPr>
        <w:t>Subtract</w:t>
      </w:r>
      <w:r>
        <w:rPr>
          <w:rFonts w:ascii="Arial" w:cs="Arial" w:eastAsia="Arial" w:hAnsi="Arial"/>
          <w:sz w:val="14"/>
          <w:szCs w:val="14"/>
          <w:color w:val="auto"/>
        </w:rPr>
        <w:t xml:space="preserve"> Fair Value as of Prior Fiscal Year-End of Option Awards and Stock Awards Granted in Prior Fiscal Years That Failed to Meet Applicable Vesting Conditions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4294505"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94505" cy="240030"/>
                    </a:xfrm>
                    <a:prstGeom prst="rect">
                      <a:avLst/>
                    </a:prstGeom>
                    <a:noFill/>
                  </pic:spPr>
                </pic:pic>
              </a:graphicData>
            </a:graphic>
          </wp:anchor>
        </w:drawing>
      </w:r>
    </w:p>
    <w:p>
      <w:pPr>
        <w:ind w:left="60" w:right="200"/>
        <w:spacing w:after="0" w:line="281" w:lineRule="auto"/>
        <w:rPr>
          <w:sz w:val="20"/>
          <w:szCs w:val="20"/>
          <w:color w:val="auto"/>
        </w:rPr>
      </w:pPr>
      <w:r>
        <w:rPr>
          <w:rFonts w:ascii="Arial" w:cs="Arial" w:eastAsia="Arial" w:hAnsi="Arial"/>
          <w:sz w:val="14"/>
          <w:szCs w:val="14"/>
          <w:color w:val="auto"/>
        </w:rPr>
        <w:t>Add Value of Dividends or other Earnings Paid on Stock or Option Awards not Otherwise Reflected in Fair Value or Total Compensation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Compensation Actually Paid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80" w:type="dxa"/>
            <w:vAlign w:val="bottom"/>
          </w:tcPr>
          <w:p>
            <w:pPr>
              <w:jc w:val="right"/>
              <w:ind w:right="268"/>
              <w:spacing w:after="0"/>
              <w:rPr>
                <w:sz w:val="20"/>
                <w:szCs w:val="20"/>
                <w:color w:val="auto"/>
              </w:rPr>
            </w:pPr>
            <w:r>
              <w:rPr>
                <w:rFonts w:ascii="Arial" w:cs="Arial" w:eastAsia="Arial" w:hAnsi="Arial"/>
                <w:sz w:val="14"/>
                <w:szCs w:val="14"/>
                <w:color w:val="auto"/>
              </w:rPr>
              <w:t>20,875,692</w:t>
            </w:r>
          </w:p>
        </w:tc>
        <w:tc>
          <w:tcPr>
            <w:tcW w:w="170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ind w:left="600"/>
              <w:spacing w:after="0"/>
              <w:rPr>
                <w:sz w:val="20"/>
                <w:szCs w:val="20"/>
                <w:color w:val="auto"/>
              </w:rPr>
            </w:pPr>
            <w:r>
              <w:rPr>
                <w:rFonts w:ascii="Arial" w:cs="Arial" w:eastAsia="Arial" w:hAnsi="Arial"/>
                <w:sz w:val="14"/>
                <w:szCs w:val="14"/>
                <w:color w:val="auto"/>
              </w:rPr>
              <w:t>—</w:t>
            </w:r>
          </w:p>
        </w:tc>
      </w:tr>
      <w:tr>
        <w:trPr>
          <w:trHeight w:val="89"/>
        </w:trPr>
        <w:tc>
          <w:tcPr>
            <w:tcW w:w="16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89"/>
        </w:trPr>
        <w:tc>
          <w:tcPr>
            <w:tcW w:w="1680" w:type="dxa"/>
            <w:vAlign w:val="bottom"/>
            <w:shd w:val="clear" w:color="auto" w:fill="DDF2F9"/>
          </w:tcPr>
          <w:p>
            <w:pPr>
              <w:jc w:val="right"/>
              <w:ind w:right="268"/>
              <w:spacing w:after="0"/>
              <w:rPr>
                <w:sz w:val="20"/>
                <w:szCs w:val="20"/>
                <w:color w:val="auto"/>
              </w:rPr>
            </w:pPr>
            <w:r>
              <w:rPr>
                <w:rFonts w:ascii="Arial" w:cs="Arial" w:eastAsia="Arial" w:hAnsi="Arial"/>
                <w:sz w:val="14"/>
                <w:szCs w:val="14"/>
                <w:color w:val="auto"/>
              </w:rPr>
              <w:t>6,761,019</w:t>
            </w:r>
          </w:p>
        </w:tc>
        <w:tc>
          <w:tcPr>
            <w:tcW w:w="1700" w:type="dxa"/>
            <w:vAlign w:val="bottom"/>
            <w:shd w:val="clear" w:color="auto" w:fill="DDF2F9"/>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DDF2F9"/>
          </w:tcPr>
          <w:p>
            <w:pPr>
              <w:ind w:left="600"/>
              <w:spacing w:after="0"/>
              <w:rPr>
                <w:sz w:val="20"/>
                <w:szCs w:val="20"/>
                <w:color w:val="auto"/>
              </w:rPr>
            </w:pPr>
            <w:r>
              <w:rPr>
                <w:rFonts w:ascii="Arial" w:cs="Arial" w:eastAsia="Arial" w:hAnsi="Arial"/>
                <w:sz w:val="14"/>
                <w:szCs w:val="14"/>
                <w:color w:val="auto"/>
              </w:rPr>
              <w:t>—</w:t>
            </w:r>
          </w:p>
        </w:tc>
      </w:tr>
      <w:tr>
        <w:trPr>
          <w:trHeight w:val="89"/>
        </w:trPr>
        <w:tc>
          <w:tcPr>
            <w:tcW w:w="1680" w:type="dxa"/>
            <w:vAlign w:val="bottom"/>
            <w:shd w:val="clear" w:color="auto" w:fill="DDF2F9"/>
          </w:tcPr>
          <w:p>
            <w:pPr>
              <w:spacing w:after="0"/>
              <w:rPr>
                <w:sz w:val="7"/>
                <w:szCs w:val="7"/>
                <w:color w:val="auto"/>
              </w:rPr>
            </w:pPr>
          </w:p>
        </w:tc>
        <w:tc>
          <w:tcPr>
            <w:tcW w:w="1700" w:type="dxa"/>
            <w:vAlign w:val="bottom"/>
            <w:shd w:val="clear" w:color="auto" w:fill="DDF2F9"/>
          </w:tcPr>
          <w:p>
            <w:pPr>
              <w:spacing w:after="0"/>
              <w:rPr>
                <w:sz w:val="7"/>
                <w:szCs w:val="7"/>
                <w:color w:val="auto"/>
              </w:rPr>
            </w:pPr>
          </w:p>
        </w:tc>
        <w:tc>
          <w:tcPr>
            <w:tcW w:w="880" w:type="dxa"/>
            <w:vAlign w:val="bottom"/>
            <w:shd w:val="clear" w:color="auto" w:fill="DDF2F9"/>
          </w:tcPr>
          <w:p>
            <w:pPr>
              <w:spacing w:after="0"/>
              <w:rPr>
                <w:sz w:val="7"/>
                <w:szCs w:val="7"/>
                <w:color w:val="auto"/>
              </w:rPr>
            </w:pPr>
          </w:p>
        </w:tc>
      </w:tr>
      <w:tr>
        <w:trPr>
          <w:trHeight w:val="289"/>
        </w:trPr>
        <w:tc>
          <w:tcPr>
            <w:tcW w:w="16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ind w:left="600"/>
              <w:spacing w:after="0"/>
              <w:rPr>
                <w:sz w:val="20"/>
                <w:szCs w:val="20"/>
                <w:color w:val="auto"/>
              </w:rPr>
            </w:pPr>
            <w:r>
              <w:rPr>
                <w:rFonts w:ascii="Arial" w:cs="Arial" w:eastAsia="Arial" w:hAnsi="Arial"/>
                <w:sz w:val="14"/>
                <w:szCs w:val="14"/>
                <w:color w:val="auto"/>
              </w:rPr>
              <w:t>—</w:t>
            </w:r>
          </w:p>
        </w:tc>
      </w:tr>
      <w:tr>
        <w:trPr>
          <w:trHeight w:val="89"/>
        </w:trPr>
        <w:tc>
          <w:tcPr>
            <w:tcW w:w="16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89"/>
        </w:trPr>
        <w:tc>
          <w:tcPr>
            <w:tcW w:w="1680" w:type="dxa"/>
            <w:vAlign w:val="bottom"/>
            <w:shd w:val="clear" w:color="auto" w:fill="DDF2F9"/>
          </w:tcPr>
          <w:p>
            <w:pPr>
              <w:jc w:val="right"/>
              <w:ind w:right="268"/>
              <w:spacing w:after="0"/>
              <w:rPr>
                <w:sz w:val="20"/>
                <w:szCs w:val="20"/>
                <w:color w:val="auto"/>
              </w:rPr>
            </w:pPr>
            <w:r>
              <w:rPr>
                <w:rFonts w:ascii="Arial" w:cs="Arial" w:eastAsia="Arial" w:hAnsi="Arial"/>
                <w:sz w:val="14"/>
                <w:szCs w:val="14"/>
                <w:color w:val="auto"/>
              </w:rPr>
              <w:t>1,883,692</w:t>
            </w:r>
          </w:p>
        </w:tc>
        <w:tc>
          <w:tcPr>
            <w:tcW w:w="1700" w:type="dxa"/>
            <w:vAlign w:val="bottom"/>
            <w:shd w:val="clear" w:color="auto" w:fill="DDF2F9"/>
          </w:tcPr>
          <w:p>
            <w:pPr>
              <w:jc w:val="right"/>
              <w:ind w:right="548"/>
              <w:spacing w:after="0"/>
              <w:rPr>
                <w:sz w:val="20"/>
                <w:szCs w:val="20"/>
                <w:color w:val="auto"/>
              </w:rPr>
            </w:pPr>
            <w:r>
              <w:rPr>
                <w:rFonts w:ascii="Arial" w:cs="Arial" w:eastAsia="Arial" w:hAnsi="Arial"/>
                <w:sz w:val="14"/>
                <w:szCs w:val="14"/>
                <w:color w:val="auto"/>
              </w:rPr>
              <w:t>343,840</w:t>
            </w:r>
          </w:p>
        </w:tc>
        <w:tc>
          <w:tcPr>
            <w:tcW w:w="880" w:type="dxa"/>
            <w:vAlign w:val="bottom"/>
            <w:shd w:val="clear" w:color="auto" w:fill="DDF2F9"/>
          </w:tcPr>
          <w:p>
            <w:pPr>
              <w:ind w:left="600"/>
              <w:spacing w:after="0"/>
              <w:rPr>
                <w:sz w:val="20"/>
                <w:szCs w:val="20"/>
                <w:color w:val="auto"/>
              </w:rPr>
            </w:pPr>
            <w:r>
              <w:rPr>
                <w:rFonts w:ascii="Arial" w:cs="Arial" w:eastAsia="Arial" w:hAnsi="Arial"/>
                <w:sz w:val="14"/>
                <w:szCs w:val="14"/>
                <w:color w:val="auto"/>
              </w:rPr>
              <w:t>—</w:t>
            </w:r>
          </w:p>
        </w:tc>
      </w:tr>
      <w:tr>
        <w:trPr>
          <w:trHeight w:val="89"/>
        </w:trPr>
        <w:tc>
          <w:tcPr>
            <w:tcW w:w="1680" w:type="dxa"/>
            <w:vAlign w:val="bottom"/>
            <w:shd w:val="clear" w:color="auto" w:fill="DDF2F9"/>
          </w:tcPr>
          <w:p>
            <w:pPr>
              <w:spacing w:after="0"/>
              <w:rPr>
                <w:sz w:val="7"/>
                <w:szCs w:val="7"/>
                <w:color w:val="auto"/>
              </w:rPr>
            </w:pPr>
          </w:p>
        </w:tc>
        <w:tc>
          <w:tcPr>
            <w:tcW w:w="1700" w:type="dxa"/>
            <w:vAlign w:val="bottom"/>
            <w:shd w:val="clear" w:color="auto" w:fill="DDF2F9"/>
          </w:tcPr>
          <w:p>
            <w:pPr>
              <w:spacing w:after="0"/>
              <w:rPr>
                <w:sz w:val="7"/>
                <w:szCs w:val="7"/>
                <w:color w:val="auto"/>
              </w:rPr>
            </w:pPr>
          </w:p>
        </w:tc>
        <w:tc>
          <w:tcPr>
            <w:tcW w:w="880" w:type="dxa"/>
            <w:vAlign w:val="bottom"/>
            <w:shd w:val="clear" w:color="auto" w:fill="DDF2F9"/>
          </w:tcPr>
          <w:p>
            <w:pPr>
              <w:spacing w:after="0"/>
              <w:rPr>
                <w:sz w:val="7"/>
                <w:szCs w:val="7"/>
                <w:color w:val="auto"/>
              </w:rPr>
            </w:pPr>
          </w:p>
        </w:tc>
      </w:tr>
      <w:tr>
        <w:trPr>
          <w:trHeight w:val="289"/>
        </w:trPr>
        <w:tc>
          <w:tcPr>
            <w:tcW w:w="16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548"/>
              <w:spacing w:after="0"/>
              <w:rPr>
                <w:sz w:val="20"/>
                <w:szCs w:val="20"/>
                <w:color w:val="auto"/>
              </w:rPr>
            </w:pPr>
            <w:r>
              <w:rPr>
                <w:rFonts w:ascii="Arial" w:cs="Arial" w:eastAsia="Arial" w:hAnsi="Arial"/>
                <w:sz w:val="14"/>
                <w:szCs w:val="14"/>
                <w:color w:val="auto"/>
              </w:rPr>
              <w:t>(4,768,042)</w:t>
            </w:r>
          </w:p>
        </w:tc>
        <w:tc>
          <w:tcPr>
            <w:tcW w:w="880" w:type="dxa"/>
            <w:vAlign w:val="bottom"/>
          </w:tcPr>
          <w:p>
            <w:pPr>
              <w:ind w:left="600"/>
              <w:spacing w:after="0"/>
              <w:rPr>
                <w:sz w:val="20"/>
                <w:szCs w:val="20"/>
                <w:color w:val="auto"/>
              </w:rPr>
            </w:pPr>
            <w:r>
              <w:rPr>
                <w:rFonts w:ascii="Arial" w:cs="Arial" w:eastAsia="Arial" w:hAnsi="Arial"/>
                <w:sz w:val="14"/>
                <w:szCs w:val="14"/>
                <w:color w:val="auto"/>
              </w:rPr>
              <w:t>—</w:t>
            </w:r>
          </w:p>
        </w:tc>
      </w:tr>
      <w:tr>
        <w:trPr>
          <w:trHeight w:val="89"/>
        </w:trPr>
        <w:tc>
          <w:tcPr>
            <w:tcW w:w="16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89"/>
        </w:trPr>
        <w:tc>
          <w:tcPr>
            <w:tcW w:w="1680" w:type="dxa"/>
            <w:vAlign w:val="bottom"/>
            <w:shd w:val="clear" w:color="auto" w:fill="DDF2F9"/>
          </w:tcPr>
          <w:p>
            <w:pPr>
              <w:jc w:val="right"/>
              <w:ind w:right="2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DDF2F9"/>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DDF2F9"/>
          </w:tcPr>
          <w:p>
            <w:pPr>
              <w:ind w:left="600"/>
              <w:spacing w:after="0"/>
              <w:rPr>
                <w:sz w:val="20"/>
                <w:szCs w:val="20"/>
                <w:color w:val="auto"/>
              </w:rPr>
            </w:pPr>
            <w:r>
              <w:rPr>
                <w:rFonts w:ascii="Arial" w:cs="Arial" w:eastAsia="Arial" w:hAnsi="Arial"/>
                <w:sz w:val="14"/>
                <w:szCs w:val="14"/>
                <w:color w:val="auto"/>
              </w:rPr>
              <w:t>—</w:t>
            </w:r>
          </w:p>
        </w:tc>
      </w:tr>
      <w:tr>
        <w:trPr>
          <w:trHeight w:val="89"/>
        </w:trPr>
        <w:tc>
          <w:tcPr>
            <w:tcW w:w="1680" w:type="dxa"/>
            <w:vAlign w:val="bottom"/>
            <w:shd w:val="clear" w:color="auto" w:fill="DDF2F9"/>
          </w:tcPr>
          <w:p>
            <w:pPr>
              <w:spacing w:after="0"/>
              <w:rPr>
                <w:sz w:val="7"/>
                <w:szCs w:val="7"/>
                <w:color w:val="auto"/>
              </w:rPr>
            </w:pPr>
          </w:p>
        </w:tc>
        <w:tc>
          <w:tcPr>
            <w:tcW w:w="1700" w:type="dxa"/>
            <w:vAlign w:val="bottom"/>
            <w:shd w:val="clear" w:color="auto" w:fill="DDF2F9"/>
          </w:tcPr>
          <w:p>
            <w:pPr>
              <w:spacing w:after="0"/>
              <w:rPr>
                <w:sz w:val="7"/>
                <w:szCs w:val="7"/>
                <w:color w:val="auto"/>
              </w:rPr>
            </w:pPr>
          </w:p>
        </w:tc>
        <w:tc>
          <w:tcPr>
            <w:tcW w:w="880" w:type="dxa"/>
            <w:vAlign w:val="bottom"/>
            <w:shd w:val="clear" w:color="auto" w:fill="DDF2F9"/>
          </w:tcPr>
          <w:p>
            <w:pPr>
              <w:spacing w:after="0"/>
              <w:rPr>
                <w:sz w:val="7"/>
                <w:szCs w:val="7"/>
                <w:color w:val="auto"/>
              </w:rPr>
            </w:pPr>
          </w:p>
        </w:tc>
      </w:tr>
      <w:tr>
        <w:trPr>
          <w:trHeight w:val="214"/>
        </w:trPr>
        <w:tc>
          <w:tcPr>
            <w:tcW w:w="1680" w:type="dxa"/>
            <w:vAlign w:val="bottom"/>
          </w:tcPr>
          <w:p>
            <w:pPr>
              <w:jc w:val="right"/>
              <w:ind w:right="268"/>
              <w:spacing w:after="0"/>
              <w:rPr>
                <w:sz w:val="20"/>
                <w:szCs w:val="20"/>
                <w:color w:val="auto"/>
              </w:rPr>
            </w:pPr>
            <w:r>
              <w:rPr>
                <w:rFonts w:ascii="Arial" w:cs="Arial" w:eastAsia="Arial" w:hAnsi="Arial"/>
                <w:sz w:val="14"/>
                <w:szCs w:val="14"/>
                <w:b w:val="1"/>
                <w:bCs w:val="1"/>
                <w:color w:val="auto"/>
              </w:rPr>
              <w:t>30,358,397</w:t>
            </w:r>
          </w:p>
        </w:tc>
        <w:tc>
          <w:tcPr>
            <w:tcW w:w="1700" w:type="dxa"/>
            <w:vAlign w:val="bottom"/>
          </w:tcPr>
          <w:p>
            <w:pPr>
              <w:jc w:val="right"/>
              <w:ind w:right="548"/>
              <w:spacing w:after="0"/>
              <w:rPr>
                <w:sz w:val="20"/>
                <w:szCs w:val="20"/>
                <w:color w:val="auto"/>
              </w:rPr>
            </w:pPr>
            <w:r>
              <w:rPr>
                <w:rFonts w:ascii="Arial" w:cs="Arial" w:eastAsia="Arial" w:hAnsi="Arial"/>
                <w:sz w:val="14"/>
                <w:szCs w:val="14"/>
                <w:b w:val="1"/>
                <w:bCs w:val="1"/>
                <w:color w:val="auto"/>
              </w:rPr>
              <w:t>16,450,909</w:t>
            </w:r>
          </w:p>
        </w:tc>
        <w:tc>
          <w:tcPr>
            <w:tcW w:w="880" w:type="dxa"/>
            <w:vAlign w:val="bottom"/>
          </w:tcPr>
          <w:p>
            <w:pPr>
              <w:ind w:left="600"/>
              <w:spacing w:after="0"/>
              <w:rPr>
                <w:sz w:val="20"/>
                <w:szCs w:val="20"/>
                <w:color w:val="auto"/>
              </w:rPr>
            </w:pPr>
            <w:r>
              <w:rPr>
                <w:rFonts w:ascii="Arial" w:cs="Arial" w:eastAsia="Arial" w:hAnsi="Arial"/>
                <w:sz w:val="14"/>
                <w:szCs w:val="14"/>
                <w:b w:val="1"/>
                <w:bCs w:val="1"/>
                <w:color w:val="auto"/>
              </w:rPr>
              <w:t>—</w:t>
            </w:r>
          </w:p>
        </w:tc>
      </w:tr>
    </w:tbl>
    <w:p>
      <w:pPr>
        <w:spacing w:after="0" w:line="200" w:lineRule="exact"/>
        <w:rPr>
          <w:sz w:val="20"/>
          <w:szCs w:val="20"/>
          <w:color w:val="auto"/>
        </w:rPr>
      </w:pPr>
    </w:p>
    <w:p>
      <w:pPr>
        <w:sectPr>
          <w:pgSz w:w="11900" w:h="16838" w:orient="portrait"/>
          <w:cols w:equalWidth="0" w:num="2">
            <w:col w:w="6700" w:space="60"/>
            <w:col w:w="4260"/>
          </w:cols>
          <w:pgMar w:left="440" w:top="122" w:right="4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Second PEO</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 w:type="dxa"/>
            <w:vAlign w:val="bottom"/>
            <w:shd w:val="clear" w:color="auto" w:fill="549EFF"/>
          </w:tcPr>
          <w:p>
            <w:pPr>
              <w:spacing w:after="0"/>
              <w:rPr>
                <w:sz w:val="18"/>
                <w:szCs w:val="18"/>
                <w:color w:val="auto"/>
              </w:rPr>
            </w:pPr>
          </w:p>
        </w:tc>
        <w:tc>
          <w:tcPr>
            <w:tcW w:w="540" w:type="dxa"/>
            <w:vAlign w:val="bottom"/>
            <w:shd w:val="clear" w:color="auto" w:fill="549EFF"/>
          </w:tcPr>
          <w:p>
            <w:pPr>
              <w:spacing w:after="0"/>
              <w:rPr>
                <w:sz w:val="18"/>
                <w:szCs w:val="18"/>
                <w:color w:val="auto"/>
              </w:rPr>
            </w:pPr>
          </w:p>
        </w:tc>
        <w:tc>
          <w:tcPr>
            <w:tcW w:w="6160" w:type="dxa"/>
            <w:vAlign w:val="bottom"/>
            <w:shd w:val="clear" w:color="auto" w:fill="549EFF"/>
          </w:tcPr>
          <w:p>
            <w:pPr>
              <w:spacing w:after="0"/>
              <w:rPr>
                <w:sz w:val="18"/>
                <w:szCs w:val="18"/>
                <w:color w:val="auto"/>
              </w:rPr>
            </w:pPr>
          </w:p>
        </w:tc>
        <w:tc>
          <w:tcPr>
            <w:tcW w:w="1120" w:type="dxa"/>
            <w:vAlign w:val="bottom"/>
            <w:shd w:val="clear" w:color="auto" w:fill="549EFF"/>
          </w:tcPr>
          <w:p>
            <w:pPr>
              <w:jc w:val="right"/>
              <w:spacing w:after="0"/>
              <w:rPr>
                <w:sz w:val="20"/>
                <w:szCs w:val="20"/>
                <w:color w:val="auto"/>
              </w:rPr>
            </w:pPr>
            <w:r>
              <w:rPr>
                <w:rFonts w:ascii="Arial" w:cs="Arial" w:eastAsia="Arial" w:hAnsi="Arial"/>
                <w:sz w:val="14"/>
                <w:szCs w:val="14"/>
                <w:b w:val="1"/>
                <w:bCs w:val="1"/>
                <w:color w:val="FFFFFF"/>
              </w:rPr>
              <w:t>2020</w:t>
            </w:r>
          </w:p>
        </w:tc>
        <w:tc>
          <w:tcPr>
            <w:tcW w:w="560" w:type="dxa"/>
            <w:vAlign w:val="bottom"/>
            <w:shd w:val="clear" w:color="auto" w:fill="549EFF"/>
          </w:tcPr>
          <w:p>
            <w:pPr>
              <w:spacing w:after="0"/>
              <w:rPr>
                <w:sz w:val="18"/>
                <w:szCs w:val="18"/>
                <w:color w:val="auto"/>
              </w:rPr>
            </w:pPr>
          </w:p>
        </w:tc>
        <w:tc>
          <w:tcPr>
            <w:tcW w:w="1360" w:type="dxa"/>
            <w:vAlign w:val="bottom"/>
            <w:shd w:val="clear" w:color="auto" w:fill="549EFF"/>
          </w:tcPr>
          <w:p>
            <w:pPr>
              <w:jc w:val="right"/>
              <w:ind w:right="508"/>
              <w:spacing w:after="0"/>
              <w:rPr>
                <w:sz w:val="20"/>
                <w:szCs w:val="20"/>
                <w:color w:val="auto"/>
              </w:rPr>
            </w:pPr>
            <w:r>
              <w:rPr>
                <w:rFonts w:ascii="Arial" w:cs="Arial" w:eastAsia="Arial" w:hAnsi="Arial"/>
                <w:sz w:val="14"/>
                <w:szCs w:val="14"/>
                <w:b w:val="1"/>
                <w:bCs w:val="1"/>
                <w:color w:val="FFFFFF"/>
              </w:rPr>
              <w:t>2021</w:t>
            </w:r>
          </w:p>
        </w:tc>
        <w:tc>
          <w:tcPr>
            <w:tcW w:w="1220" w:type="dxa"/>
            <w:vAlign w:val="bottom"/>
            <w:shd w:val="clear" w:color="auto" w:fill="549EFF"/>
          </w:tcPr>
          <w:p>
            <w:pPr>
              <w:jc w:val="right"/>
              <w:ind w:right="308"/>
              <w:spacing w:after="0"/>
              <w:rPr>
                <w:sz w:val="20"/>
                <w:szCs w:val="20"/>
                <w:color w:val="auto"/>
              </w:rPr>
            </w:pPr>
            <w:r>
              <w:rPr>
                <w:rFonts w:ascii="Arial" w:cs="Arial" w:eastAsia="Arial" w:hAnsi="Arial"/>
                <w:sz w:val="14"/>
                <w:szCs w:val="14"/>
                <w:b w:val="1"/>
                <w:bCs w:val="1"/>
                <w:color w:val="FFFFFF"/>
              </w:rPr>
              <w:t>2022</w:t>
            </w:r>
          </w:p>
        </w:tc>
      </w:tr>
      <w:tr>
        <w:trPr>
          <w:trHeight w:val="189"/>
        </w:trPr>
        <w:tc>
          <w:tcPr>
            <w:tcW w:w="60" w:type="dxa"/>
            <w:vAlign w:val="bottom"/>
          </w:tcPr>
          <w:p>
            <w:pPr>
              <w:spacing w:after="0"/>
              <w:rPr>
                <w:sz w:val="16"/>
                <w:szCs w:val="16"/>
                <w:color w:val="auto"/>
              </w:rPr>
            </w:pPr>
          </w:p>
        </w:tc>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Summary Compensation Table Total</w:t>
            </w:r>
          </w:p>
        </w:tc>
        <w:tc>
          <w:tcPr>
            <w:tcW w:w="112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9,396,664</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11,392,553</w:t>
            </w:r>
          </w:p>
        </w:tc>
      </w:tr>
      <w:tr>
        <w:trPr>
          <w:trHeight w:val="176"/>
        </w:trPr>
        <w:tc>
          <w:tcPr>
            <w:tcW w:w="60" w:type="dxa"/>
            <w:vAlign w:val="bottom"/>
            <w:tcBorders>
              <w:bottom w:val="single" w:sz="8" w:color="DDF2F9"/>
            </w:tcBorders>
            <w:shd w:val="clear" w:color="auto" w:fill="DDF2F9"/>
          </w:tcPr>
          <w:p>
            <w:pPr>
              <w:spacing w:after="0"/>
              <w:rPr>
                <w:sz w:val="15"/>
                <w:szCs w:val="15"/>
                <w:color w:val="auto"/>
              </w:rPr>
            </w:pPr>
          </w:p>
        </w:tc>
        <w:tc>
          <w:tcPr>
            <w:tcW w:w="540" w:type="dxa"/>
            <w:vAlign w:val="bottom"/>
            <w:tcBorders>
              <w:bottom w:val="single" w:sz="8" w:color="auto"/>
            </w:tcBorders>
            <w:shd w:val="clear" w:color="auto" w:fill="DDF2F9"/>
          </w:tcPr>
          <w:p>
            <w:pPr>
              <w:spacing w:after="0" w:line="155" w:lineRule="exact"/>
              <w:rPr>
                <w:sz w:val="20"/>
                <w:szCs w:val="20"/>
                <w:color w:val="auto"/>
              </w:rPr>
            </w:pPr>
            <w:r>
              <w:rPr>
                <w:rFonts w:ascii="Arial" w:cs="Arial" w:eastAsia="Arial" w:hAnsi="Arial"/>
                <w:sz w:val="14"/>
                <w:szCs w:val="14"/>
                <w:color w:val="auto"/>
                <w:w w:val="99"/>
              </w:rPr>
              <w:t>Subtract</w:t>
            </w:r>
          </w:p>
        </w:tc>
        <w:tc>
          <w:tcPr>
            <w:tcW w:w="6160" w:type="dxa"/>
            <w:vAlign w:val="bottom"/>
            <w:tcBorders>
              <w:bottom w:val="single" w:sz="8" w:color="DDF2F9"/>
            </w:tcBorders>
            <w:shd w:val="clear" w:color="auto" w:fill="DDF2F9"/>
          </w:tcPr>
          <w:p>
            <w:pPr>
              <w:ind w:left="40"/>
              <w:spacing w:after="0"/>
              <w:rPr>
                <w:sz w:val="20"/>
                <w:szCs w:val="20"/>
                <w:color w:val="auto"/>
              </w:rPr>
            </w:pPr>
            <w:r>
              <w:rPr>
                <w:rFonts w:ascii="Arial" w:cs="Arial" w:eastAsia="Arial" w:hAnsi="Arial"/>
                <w:sz w:val="14"/>
                <w:szCs w:val="14"/>
                <w:color w:val="auto"/>
              </w:rPr>
              <w:t>Grant Date Fair Value of Option Awards and Stock Awards Granted in Fiscal Year</w:t>
            </w:r>
          </w:p>
        </w:tc>
        <w:tc>
          <w:tcPr>
            <w:tcW w:w="1120" w:type="dxa"/>
            <w:vAlign w:val="bottom"/>
            <w:tcBorders>
              <w:bottom w:val="single" w:sz="8" w:color="DDF2F9"/>
            </w:tcBorders>
            <w:shd w:val="clear" w:color="auto" w:fill="DDF2F9"/>
          </w:tcPr>
          <w:p>
            <w:pPr>
              <w:spacing w:after="0"/>
              <w:rPr>
                <w:sz w:val="15"/>
                <w:szCs w:val="15"/>
                <w:color w:val="auto"/>
              </w:rPr>
            </w:pPr>
          </w:p>
        </w:tc>
        <w:tc>
          <w:tcPr>
            <w:tcW w:w="560" w:type="dxa"/>
            <w:vAlign w:val="bottom"/>
            <w:tcBorders>
              <w:bottom w:val="single" w:sz="8" w:color="DDF2F9"/>
            </w:tcBorders>
            <w:shd w:val="clear" w:color="auto" w:fill="DDF2F9"/>
          </w:tcPr>
          <w:p>
            <w:pPr>
              <w:ind w:left="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DF2F9"/>
            </w:tcBorders>
            <w:shd w:val="clear" w:color="auto" w:fill="DDF2F9"/>
          </w:tcPr>
          <w:p>
            <w:pPr>
              <w:jc w:val="right"/>
              <w:ind w:right="208"/>
              <w:spacing w:after="0"/>
              <w:rPr>
                <w:sz w:val="20"/>
                <w:szCs w:val="20"/>
                <w:color w:val="auto"/>
              </w:rPr>
            </w:pPr>
            <w:r>
              <w:rPr>
                <w:rFonts w:ascii="Arial" w:cs="Arial" w:eastAsia="Arial" w:hAnsi="Arial"/>
                <w:sz w:val="14"/>
                <w:szCs w:val="14"/>
                <w:color w:val="auto"/>
              </w:rPr>
              <w:t>(8,364,620)</w:t>
            </w:r>
          </w:p>
        </w:tc>
        <w:tc>
          <w:tcPr>
            <w:tcW w:w="1220" w:type="dxa"/>
            <w:vAlign w:val="bottom"/>
            <w:tcBorders>
              <w:bottom w:val="single" w:sz="8" w:color="DDF2F9"/>
            </w:tcBorders>
            <w:shd w:val="clear" w:color="auto" w:fill="DDF2F9"/>
          </w:tcPr>
          <w:p>
            <w:pPr>
              <w:jc w:val="right"/>
              <w:ind w:right="48"/>
              <w:spacing w:after="0"/>
              <w:rPr>
                <w:sz w:val="20"/>
                <w:szCs w:val="20"/>
                <w:color w:val="auto"/>
              </w:rPr>
            </w:pPr>
            <w:r>
              <w:rPr>
                <w:rFonts w:ascii="Arial" w:cs="Arial" w:eastAsia="Arial" w:hAnsi="Arial"/>
                <w:sz w:val="14"/>
                <w:szCs w:val="14"/>
                <w:color w:val="auto"/>
              </w:rPr>
              <w:t>(10,361,307)</w:t>
            </w:r>
          </w:p>
        </w:tc>
      </w:tr>
      <w:tr>
        <w:trPr>
          <w:trHeight w:val="48"/>
        </w:trPr>
        <w:tc>
          <w:tcPr>
            <w:tcW w:w="60" w:type="dxa"/>
            <w:vAlign w:val="bottom"/>
            <w:shd w:val="clear" w:color="auto" w:fill="DDF2F9"/>
          </w:tcPr>
          <w:p>
            <w:pPr>
              <w:spacing w:after="0"/>
              <w:rPr>
                <w:sz w:val="4"/>
                <w:szCs w:val="4"/>
                <w:color w:val="auto"/>
              </w:rPr>
            </w:pPr>
          </w:p>
        </w:tc>
        <w:tc>
          <w:tcPr>
            <w:tcW w:w="540" w:type="dxa"/>
            <w:vAlign w:val="bottom"/>
            <w:shd w:val="clear" w:color="auto" w:fill="DDF2F9"/>
          </w:tcPr>
          <w:p>
            <w:pPr>
              <w:spacing w:after="0"/>
              <w:rPr>
                <w:sz w:val="4"/>
                <w:szCs w:val="4"/>
                <w:color w:val="auto"/>
              </w:rPr>
            </w:pPr>
          </w:p>
        </w:tc>
        <w:tc>
          <w:tcPr>
            <w:tcW w:w="6160" w:type="dxa"/>
            <w:vAlign w:val="bottom"/>
            <w:shd w:val="clear" w:color="auto" w:fill="DDF2F9"/>
          </w:tcPr>
          <w:p>
            <w:pPr>
              <w:spacing w:after="0"/>
              <w:rPr>
                <w:sz w:val="4"/>
                <w:szCs w:val="4"/>
                <w:color w:val="auto"/>
              </w:rPr>
            </w:pPr>
          </w:p>
        </w:tc>
        <w:tc>
          <w:tcPr>
            <w:tcW w:w="1120" w:type="dxa"/>
            <w:vAlign w:val="bottom"/>
            <w:shd w:val="clear" w:color="auto" w:fill="DDF2F9"/>
          </w:tcPr>
          <w:p>
            <w:pPr>
              <w:spacing w:after="0"/>
              <w:rPr>
                <w:sz w:val="4"/>
                <w:szCs w:val="4"/>
                <w:color w:val="auto"/>
              </w:rPr>
            </w:pPr>
          </w:p>
        </w:tc>
        <w:tc>
          <w:tcPr>
            <w:tcW w:w="560" w:type="dxa"/>
            <w:vAlign w:val="bottom"/>
            <w:shd w:val="clear" w:color="auto" w:fill="DDF2F9"/>
          </w:tcPr>
          <w:p>
            <w:pPr>
              <w:spacing w:after="0"/>
              <w:rPr>
                <w:sz w:val="4"/>
                <w:szCs w:val="4"/>
                <w:color w:val="auto"/>
              </w:rPr>
            </w:pPr>
          </w:p>
        </w:tc>
        <w:tc>
          <w:tcPr>
            <w:tcW w:w="1360" w:type="dxa"/>
            <w:vAlign w:val="bottom"/>
            <w:shd w:val="clear" w:color="auto" w:fill="DDF2F9"/>
          </w:tcPr>
          <w:p>
            <w:pPr>
              <w:spacing w:after="0"/>
              <w:rPr>
                <w:sz w:val="4"/>
                <w:szCs w:val="4"/>
                <w:color w:val="auto"/>
              </w:rPr>
            </w:pPr>
          </w:p>
        </w:tc>
        <w:tc>
          <w:tcPr>
            <w:tcW w:w="1220" w:type="dxa"/>
            <w:vAlign w:val="bottom"/>
            <w:shd w:val="clear" w:color="auto" w:fill="DDF2F9"/>
          </w:tcPr>
          <w:p>
            <w:pPr>
              <w:spacing w:after="0"/>
              <w:rPr>
                <w:sz w:val="4"/>
                <w:szCs w:val="4"/>
                <w:color w:val="auto"/>
              </w:rPr>
            </w:pPr>
          </w:p>
        </w:tc>
      </w:tr>
    </w:tbl>
    <w:p>
      <w:pPr>
        <w:spacing w:after="0" w:line="1" w:lineRule="exact"/>
        <w:rPr>
          <w:sz w:val="20"/>
          <w:szCs w:val="20"/>
          <w:color w:val="auto"/>
        </w:rPr>
      </w:pPr>
    </w:p>
    <w:p>
      <w:pPr>
        <w:sectPr>
          <w:pgSz w:w="11900" w:h="16838" w:orient="portrait"/>
          <w:cols w:equalWidth="0" w:num="1">
            <w:col w:w="11020"/>
          </w:cols>
          <w:pgMar w:left="440" w:top="122" w:right="439" w:bottom="1440" w:gutter="0" w:footer="0" w:header="0"/>
          <w:type w:val="continuous"/>
        </w:sectPr>
      </w:pPr>
    </w:p>
    <w:p>
      <w:pPr>
        <w:ind w:left="60" w:right="940"/>
        <w:spacing w:after="0" w:line="271" w:lineRule="auto"/>
        <w:rPr>
          <w:sz w:val="20"/>
          <w:szCs w:val="20"/>
          <w:color w:val="auto"/>
        </w:rPr>
      </w:pPr>
      <w:r>
        <w:rPr>
          <w:rFonts w:ascii="Arial" w:cs="Arial" w:eastAsia="Arial" w:hAnsi="Arial"/>
          <w:sz w:val="14"/>
          <w:szCs w:val="14"/>
          <w:u w:val="single" w:color="auto"/>
          <w:color w:val="auto"/>
        </w:rPr>
        <w:t>Add</w:t>
      </w:r>
      <w:r>
        <w:rPr>
          <w:rFonts w:ascii="Arial" w:cs="Arial" w:eastAsia="Arial" w:hAnsi="Arial"/>
          <w:sz w:val="14"/>
          <w:szCs w:val="14"/>
          <w:color w:val="auto"/>
        </w:rPr>
        <w:t xml:space="preserve"> Fair Value at Fiscal Year-End of Outstanding and Unvested Option Awards and Stock Awards Granted in Fiscal Year</w:t>
      </w:r>
    </w:p>
    <w:p>
      <w:pPr>
        <w:spacing w:after="0" w:line="5" w:lineRule="exact"/>
        <w:rPr>
          <w:sz w:val="20"/>
          <w:szCs w:val="20"/>
          <w:color w:val="auto"/>
        </w:rPr>
      </w:pPr>
    </w:p>
    <w:p>
      <w:pPr>
        <w:ind w:left="60" w:right="540"/>
        <w:spacing w:after="0" w:line="281" w:lineRule="auto"/>
        <w:rPr>
          <w:sz w:val="20"/>
          <w:szCs w:val="20"/>
          <w:color w:val="auto"/>
        </w:rPr>
      </w:pPr>
      <w:r>
        <w:rPr>
          <w:rFonts w:ascii="Arial" w:cs="Arial" w:eastAsia="Arial" w:hAnsi="Arial"/>
          <w:sz w:val="14"/>
          <w:szCs w:val="14"/>
          <w:u w:val="single" w:color="auto"/>
          <w:color w:val="auto"/>
        </w:rPr>
        <w:t>Adjust for</w:t>
      </w:r>
      <w:r>
        <w:rPr>
          <w:rFonts w:ascii="Arial" w:cs="Arial" w:eastAsia="Arial" w:hAnsi="Arial"/>
          <w:sz w:val="14"/>
          <w:szCs w:val="14"/>
          <w:color w:val="auto"/>
        </w:rPr>
        <w:t xml:space="preserve"> Change in Fair Value of Outstanding and Unvested Option Awards and Stock Awards Granted in Prior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240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ind w:left="60" w:right="600"/>
        <w:spacing w:after="0" w:line="281" w:lineRule="auto"/>
        <w:rPr>
          <w:sz w:val="20"/>
          <w:szCs w:val="20"/>
          <w:color w:val="auto"/>
        </w:rPr>
      </w:pPr>
      <w:r>
        <w:rPr>
          <w:rFonts w:ascii="Arial" w:cs="Arial" w:eastAsia="Arial" w:hAnsi="Arial"/>
          <w:sz w:val="14"/>
          <w:szCs w:val="14"/>
          <w:u w:val="single" w:color="auto"/>
          <w:color w:val="auto"/>
        </w:rPr>
        <w:t>Adjust for</w:t>
      </w:r>
      <w:r>
        <w:rPr>
          <w:rFonts w:ascii="Arial" w:cs="Arial" w:eastAsia="Arial" w:hAnsi="Arial"/>
          <w:sz w:val="14"/>
          <w:szCs w:val="14"/>
          <w:color w:val="auto"/>
        </w:rPr>
        <w:t xml:space="preserve"> Fair Value at Vesting of Option Awards and Stock Awards Granted in Fiscal Year That Vested During Fiscal Year</w:t>
      </w:r>
    </w:p>
    <w:p>
      <w:pPr>
        <w:spacing w:after="0" w:line="1" w:lineRule="exact"/>
        <w:rPr>
          <w:sz w:val="20"/>
          <w:szCs w:val="20"/>
          <w:color w:val="auto"/>
        </w:rPr>
      </w:pPr>
    </w:p>
    <w:p>
      <w:pPr>
        <w:ind w:left="60" w:right="580"/>
        <w:spacing w:after="0" w:line="285" w:lineRule="auto"/>
        <w:rPr>
          <w:sz w:val="20"/>
          <w:szCs w:val="20"/>
          <w:color w:val="auto"/>
        </w:rPr>
      </w:pPr>
      <w:r>
        <w:rPr>
          <w:rFonts w:ascii="Arial" w:cs="Arial" w:eastAsia="Arial" w:hAnsi="Arial"/>
          <w:sz w:val="14"/>
          <w:szCs w:val="14"/>
          <w:u w:val="single" w:color="auto"/>
          <w:color w:val="auto"/>
        </w:rPr>
        <w:t>Adjust for</w:t>
      </w:r>
      <w:r>
        <w:rPr>
          <w:rFonts w:ascii="Arial" w:cs="Arial" w:eastAsia="Arial" w:hAnsi="Arial"/>
          <w:sz w:val="14"/>
          <w:szCs w:val="14"/>
          <w:color w:val="auto"/>
        </w:rPr>
        <w:t xml:space="preserve"> Change in Fair Value as of Vesting Date of Option Awards and Stock Awards Granted in Prior Fiscal Years For Which Applicable Vesting Conditions Were Satisfied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699516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10,149,237</w:t>
            </w:r>
          </w:p>
        </w:tc>
        <w:tc>
          <w:tcPr>
            <w:tcW w:w="1060" w:type="dxa"/>
            <w:vAlign w:val="bottom"/>
          </w:tcPr>
          <w:p>
            <w:pPr>
              <w:jc w:val="right"/>
              <w:spacing w:after="0"/>
              <w:rPr>
                <w:sz w:val="20"/>
                <w:szCs w:val="20"/>
                <w:color w:val="auto"/>
              </w:rPr>
            </w:pPr>
            <w:r>
              <w:rPr>
                <w:rFonts w:ascii="Arial" w:cs="Arial" w:eastAsia="Arial" w:hAnsi="Arial"/>
                <w:sz w:val="14"/>
                <w:szCs w:val="14"/>
                <w:color w:val="auto"/>
              </w:rPr>
              <w:t>7,236,431</w:t>
            </w: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1,821,938</w:t>
            </w:r>
          </w:p>
        </w:tc>
        <w:tc>
          <w:tcPr>
            <w:tcW w:w="1060" w:type="dxa"/>
            <w:vAlign w:val="bottom"/>
          </w:tcPr>
          <w:p>
            <w:pPr>
              <w:jc w:val="right"/>
              <w:spacing w:after="0"/>
              <w:rPr>
                <w:sz w:val="20"/>
                <w:szCs w:val="20"/>
                <w:color w:val="auto"/>
              </w:rPr>
            </w:pPr>
            <w:r>
              <w:rPr>
                <w:rFonts w:ascii="Arial" w:cs="Arial" w:eastAsia="Arial" w:hAnsi="Arial"/>
                <w:sz w:val="14"/>
                <w:szCs w:val="14"/>
                <w:color w:val="auto"/>
              </w:rPr>
              <w:t>(2,774,012)</w:t>
            </w: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136,595</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(312,693)</w:t>
            </w:r>
          </w:p>
        </w:tc>
        <w:tc>
          <w:tcPr>
            <w:tcW w:w="1060" w:type="dxa"/>
            <w:vAlign w:val="bottom"/>
          </w:tcPr>
          <w:p>
            <w:pPr>
              <w:jc w:val="right"/>
              <w:spacing w:after="0"/>
              <w:rPr>
                <w:sz w:val="20"/>
                <w:szCs w:val="20"/>
                <w:color w:val="auto"/>
              </w:rPr>
            </w:pPr>
            <w:r>
              <w:rPr>
                <w:rFonts w:ascii="Arial" w:cs="Arial" w:eastAsia="Arial" w:hAnsi="Arial"/>
                <w:sz w:val="14"/>
                <w:szCs w:val="14"/>
                <w:color w:val="auto"/>
              </w:rPr>
              <w:t>(354,802)</w:t>
            </w:r>
          </w:p>
        </w:tc>
      </w:tr>
    </w:tbl>
    <w:p>
      <w:pPr>
        <w:spacing w:after="0" w:line="219" w:lineRule="exact"/>
        <w:rPr>
          <w:sz w:val="20"/>
          <w:szCs w:val="20"/>
          <w:color w:val="auto"/>
        </w:rPr>
      </w:pPr>
    </w:p>
    <w:p>
      <w:pPr>
        <w:sectPr>
          <w:pgSz w:w="11900" w:h="16838" w:orient="portrait"/>
          <w:cols w:equalWidth="0" w:num="2">
            <w:col w:w="7240" w:space="720"/>
            <w:col w:w="3060"/>
          </w:cols>
          <w:pgMar w:left="440" w:top="122"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020"/>
          </w:cols>
          <w:pgMar w:left="440" w:top="122" w:right="4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600" w:type="dxa"/>
            <w:vAlign w:val="bottom"/>
            <w:tcBorders>
              <w:left w:val="single" w:sz="8" w:color="549EFF"/>
            </w:tcBorders>
            <w:shd w:val="clear" w:color="auto" w:fill="549EFF"/>
          </w:tcPr>
          <w:p>
            <w:pPr>
              <w:spacing w:after="0"/>
              <w:rPr>
                <w:sz w:val="18"/>
                <w:szCs w:val="18"/>
                <w:color w:val="auto"/>
              </w:rPr>
            </w:pPr>
          </w:p>
        </w:tc>
        <w:tc>
          <w:tcPr>
            <w:tcW w:w="6160" w:type="dxa"/>
            <w:vAlign w:val="bottom"/>
            <w:shd w:val="clear" w:color="auto" w:fill="549EFF"/>
          </w:tcPr>
          <w:p>
            <w:pPr>
              <w:spacing w:after="0"/>
              <w:rPr>
                <w:sz w:val="18"/>
                <w:szCs w:val="18"/>
                <w:color w:val="auto"/>
              </w:rPr>
            </w:pPr>
          </w:p>
        </w:tc>
        <w:tc>
          <w:tcPr>
            <w:tcW w:w="1120" w:type="dxa"/>
            <w:vAlign w:val="bottom"/>
            <w:shd w:val="clear" w:color="auto" w:fill="549EFF"/>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shd w:val="clear" w:color="auto" w:fill="549EFF"/>
          </w:tcPr>
          <w:p>
            <w:pPr>
              <w:spacing w:after="0"/>
              <w:rPr>
                <w:sz w:val="18"/>
                <w:szCs w:val="18"/>
                <w:color w:val="auto"/>
              </w:rPr>
            </w:pPr>
          </w:p>
        </w:tc>
        <w:tc>
          <w:tcPr>
            <w:tcW w:w="1440" w:type="dxa"/>
            <w:vAlign w:val="bottom"/>
            <w:shd w:val="clear" w:color="auto" w:fill="549EFF"/>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140" w:type="dxa"/>
            <w:vAlign w:val="bottom"/>
            <w:shd w:val="clear" w:color="auto" w:fill="549EFF"/>
          </w:tcPr>
          <w:p>
            <w:pPr>
              <w:jc w:val="right"/>
              <w:ind w:right="308"/>
              <w:spacing w:after="0"/>
              <w:rPr>
                <w:sz w:val="20"/>
                <w:szCs w:val="20"/>
                <w:color w:val="auto"/>
              </w:rPr>
            </w:pPr>
            <w:r>
              <w:rPr>
                <w:rFonts w:ascii="Arial" w:cs="Arial" w:eastAsia="Arial" w:hAnsi="Arial"/>
                <w:sz w:val="14"/>
                <w:szCs w:val="14"/>
                <w:b w:val="1"/>
                <w:bCs w:val="1"/>
                <w:color w:val="auto"/>
              </w:rPr>
              <w:t>2022</w:t>
            </w:r>
          </w:p>
        </w:tc>
      </w:tr>
      <w:tr>
        <w:trPr>
          <w:trHeight w:val="148"/>
        </w:trPr>
        <w:tc>
          <w:tcPr>
            <w:tcW w:w="6760" w:type="dxa"/>
            <w:vAlign w:val="bottom"/>
            <w:tcBorders>
              <w:left w:val="single" w:sz="8" w:color="DDF2F9"/>
            </w:tcBorders>
            <w:gridSpan w:val="2"/>
            <w:shd w:val="clear" w:color="auto" w:fill="DDF2F9"/>
          </w:tcPr>
          <w:p>
            <w:pPr>
              <w:ind w:left="60"/>
              <w:spacing w:after="0" w:line="149" w:lineRule="exact"/>
              <w:rPr>
                <w:sz w:val="20"/>
                <w:szCs w:val="20"/>
                <w:color w:val="auto"/>
              </w:rPr>
            </w:pPr>
            <w:r>
              <w:rPr>
                <w:rFonts w:ascii="Arial" w:cs="Arial" w:eastAsia="Arial" w:hAnsi="Arial"/>
                <w:sz w:val="14"/>
                <w:szCs w:val="14"/>
                <w:color w:val="auto"/>
              </w:rPr>
              <w:t>Subtract Fair Value as of Prior Fiscal Year-End of Option Awards and Stock Awards Granted in Prior</w:t>
            </w:r>
          </w:p>
        </w:tc>
        <w:tc>
          <w:tcPr>
            <w:tcW w:w="1120" w:type="dxa"/>
            <w:vAlign w:val="bottom"/>
            <w:shd w:val="clear" w:color="auto" w:fill="DDF2F9"/>
          </w:tcPr>
          <w:p>
            <w:pPr>
              <w:spacing w:after="0"/>
              <w:rPr>
                <w:sz w:val="12"/>
                <w:szCs w:val="12"/>
                <w:color w:val="auto"/>
              </w:rPr>
            </w:pPr>
          </w:p>
        </w:tc>
        <w:tc>
          <w:tcPr>
            <w:tcW w:w="560" w:type="dxa"/>
            <w:vAlign w:val="bottom"/>
            <w:shd w:val="clear" w:color="auto" w:fill="DDF2F9"/>
          </w:tcPr>
          <w:p>
            <w:pPr>
              <w:ind w:left="8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DDF2F9"/>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DDF2F9"/>
          </w:tcPr>
          <w:p>
            <w:pPr>
              <w:jc w:val="right"/>
              <w:ind w:right="48"/>
              <w:spacing w:after="0" w:line="149" w:lineRule="exact"/>
              <w:rPr>
                <w:sz w:val="20"/>
                <w:szCs w:val="20"/>
                <w:color w:val="auto"/>
              </w:rPr>
            </w:pPr>
            <w:r>
              <w:rPr>
                <w:rFonts w:ascii="Arial" w:cs="Arial" w:eastAsia="Arial" w:hAnsi="Arial"/>
                <w:sz w:val="14"/>
                <w:szCs w:val="14"/>
                <w:color w:val="auto"/>
              </w:rPr>
              <w:t>—</w:t>
            </w:r>
          </w:p>
        </w:tc>
      </w:tr>
      <w:tr>
        <w:trPr>
          <w:trHeight w:val="20"/>
        </w:trPr>
        <w:tc>
          <w:tcPr>
            <w:tcW w:w="600" w:type="dxa"/>
            <w:vAlign w:val="bottom"/>
            <w:tcBorders>
              <w:left w:val="single" w:sz="8" w:color="DDF2F9"/>
            </w:tcBorders>
            <w:shd w:val="clear" w:color="auto" w:fill="000000"/>
          </w:tcPr>
          <w:p>
            <w:pPr>
              <w:spacing w:after="0" w:line="20" w:lineRule="exact"/>
              <w:rPr>
                <w:sz w:val="1"/>
                <w:szCs w:val="1"/>
                <w:color w:val="auto"/>
              </w:rPr>
            </w:pPr>
          </w:p>
        </w:tc>
        <w:tc>
          <w:tcPr>
            <w:tcW w:w="7280" w:type="dxa"/>
            <w:vAlign w:val="bottom"/>
            <w:gridSpan w:val="2"/>
            <w:shd w:val="clear" w:color="auto" w:fill="DDF2F9"/>
          </w:tcPr>
          <w:p>
            <w:pPr>
              <w:spacing w:after="0" w:line="20" w:lineRule="exact"/>
              <w:rPr>
                <w:sz w:val="1"/>
                <w:szCs w:val="1"/>
                <w:color w:val="auto"/>
              </w:rPr>
            </w:pPr>
          </w:p>
        </w:tc>
        <w:tc>
          <w:tcPr>
            <w:tcW w:w="560" w:type="dxa"/>
            <w:vAlign w:val="bottom"/>
            <w:shd w:val="clear" w:color="auto" w:fill="DDF2F9"/>
          </w:tcPr>
          <w:p>
            <w:pPr>
              <w:spacing w:after="0" w:line="20" w:lineRule="exact"/>
              <w:rPr>
                <w:sz w:val="1"/>
                <w:szCs w:val="1"/>
                <w:color w:val="auto"/>
              </w:rPr>
            </w:pPr>
          </w:p>
        </w:tc>
        <w:tc>
          <w:tcPr>
            <w:tcW w:w="1440" w:type="dxa"/>
            <w:vAlign w:val="bottom"/>
            <w:shd w:val="clear" w:color="auto" w:fill="DDF2F9"/>
          </w:tcPr>
          <w:p>
            <w:pPr>
              <w:spacing w:after="0" w:line="20" w:lineRule="exact"/>
              <w:rPr>
                <w:sz w:val="1"/>
                <w:szCs w:val="1"/>
                <w:color w:val="auto"/>
              </w:rPr>
            </w:pPr>
          </w:p>
        </w:tc>
        <w:tc>
          <w:tcPr>
            <w:tcW w:w="1140" w:type="dxa"/>
            <w:vAlign w:val="bottom"/>
            <w:shd w:val="clear" w:color="auto" w:fill="DDF2F9"/>
          </w:tcPr>
          <w:p>
            <w:pPr>
              <w:spacing w:after="0" w:line="20" w:lineRule="exact"/>
              <w:rPr>
                <w:sz w:val="1"/>
                <w:szCs w:val="1"/>
                <w:color w:val="auto"/>
              </w:rPr>
            </w:pPr>
          </w:p>
        </w:tc>
      </w:tr>
      <w:tr>
        <w:trPr>
          <w:trHeight w:val="190"/>
        </w:trPr>
        <w:tc>
          <w:tcPr>
            <w:tcW w:w="7880" w:type="dxa"/>
            <w:vAlign w:val="bottom"/>
            <w:tcBorders>
              <w:left w:val="single" w:sz="8" w:color="DDF2F9"/>
              <w:bottom w:val="single" w:sz="8" w:color="DDF2F9"/>
            </w:tcBorders>
            <w:gridSpan w:val="3"/>
            <w:shd w:val="clear" w:color="auto" w:fill="DDF2F9"/>
          </w:tcPr>
          <w:p>
            <w:pPr>
              <w:ind w:left="60"/>
              <w:spacing w:after="0"/>
              <w:rPr>
                <w:sz w:val="20"/>
                <w:szCs w:val="20"/>
                <w:color w:val="auto"/>
              </w:rPr>
            </w:pPr>
            <w:r>
              <w:rPr>
                <w:rFonts w:ascii="Arial" w:cs="Arial" w:eastAsia="Arial" w:hAnsi="Arial"/>
                <w:sz w:val="14"/>
                <w:szCs w:val="14"/>
                <w:color w:val="auto"/>
              </w:rPr>
              <w:t>Fiscal Years That Failed to Meet Applicable Vesting Conditions During Fiscal Year</w:t>
            </w:r>
          </w:p>
        </w:tc>
        <w:tc>
          <w:tcPr>
            <w:tcW w:w="560" w:type="dxa"/>
            <w:vAlign w:val="bottom"/>
            <w:tcBorders>
              <w:bottom w:val="single" w:sz="8" w:color="DDF2F9"/>
            </w:tcBorders>
            <w:shd w:val="clear" w:color="auto" w:fill="DDF2F9"/>
          </w:tcPr>
          <w:p>
            <w:pPr>
              <w:spacing w:after="0"/>
              <w:rPr>
                <w:sz w:val="16"/>
                <w:szCs w:val="16"/>
                <w:color w:val="auto"/>
              </w:rPr>
            </w:pPr>
          </w:p>
        </w:tc>
        <w:tc>
          <w:tcPr>
            <w:tcW w:w="1440" w:type="dxa"/>
            <w:vAlign w:val="bottom"/>
            <w:tcBorders>
              <w:bottom w:val="single" w:sz="8" w:color="DDF2F9"/>
            </w:tcBorders>
            <w:shd w:val="clear" w:color="auto" w:fill="DDF2F9"/>
          </w:tcPr>
          <w:p>
            <w:pPr>
              <w:spacing w:after="0"/>
              <w:rPr>
                <w:sz w:val="16"/>
                <w:szCs w:val="16"/>
                <w:color w:val="auto"/>
              </w:rPr>
            </w:pPr>
          </w:p>
        </w:tc>
        <w:tc>
          <w:tcPr>
            <w:tcW w:w="1140" w:type="dxa"/>
            <w:vAlign w:val="bottom"/>
            <w:tcBorders>
              <w:bottom w:val="single" w:sz="8" w:color="DDF2F9"/>
            </w:tcBorders>
            <w:shd w:val="clear" w:color="auto" w:fill="DDF2F9"/>
          </w:tcPr>
          <w:p>
            <w:pPr>
              <w:spacing w:after="0"/>
              <w:rPr>
                <w:sz w:val="16"/>
                <w:szCs w:val="16"/>
                <w:color w:val="auto"/>
              </w:rPr>
            </w:pPr>
          </w:p>
        </w:tc>
      </w:tr>
      <w:tr>
        <w:trPr>
          <w:trHeight w:val="153"/>
        </w:trPr>
        <w:tc>
          <w:tcPr>
            <w:tcW w:w="7880" w:type="dxa"/>
            <w:vAlign w:val="bottom"/>
            <w:gridSpan w:val="3"/>
          </w:tcPr>
          <w:p>
            <w:pPr>
              <w:ind w:left="60"/>
              <w:spacing w:after="0" w:line="153" w:lineRule="exact"/>
              <w:rPr>
                <w:sz w:val="20"/>
                <w:szCs w:val="20"/>
                <w:color w:val="auto"/>
              </w:rPr>
            </w:pPr>
            <w:r>
              <w:rPr>
                <w:rFonts w:ascii="Arial" w:cs="Arial" w:eastAsia="Arial" w:hAnsi="Arial"/>
                <w:sz w:val="14"/>
                <w:szCs w:val="14"/>
                <w:color w:val="auto"/>
              </w:rPr>
              <w:t>Add Value of Dividends or other Earnings Paid on Stock or Option Awards not Otherwise Reflected in</w:t>
            </w:r>
          </w:p>
        </w:tc>
        <w:tc>
          <w:tcPr>
            <w:tcW w:w="560" w:type="dxa"/>
            <w:vAlign w:val="bottom"/>
          </w:tcPr>
          <w:p>
            <w:pPr>
              <w:ind w:left="80"/>
              <w:spacing w:after="0" w:line="153" w:lineRule="exact"/>
              <w:rPr>
                <w:sz w:val="20"/>
                <w:szCs w:val="20"/>
                <w:color w:val="auto"/>
              </w:rPr>
            </w:pPr>
            <w:r>
              <w:rPr>
                <w:rFonts w:ascii="Arial" w:cs="Arial" w:eastAsia="Arial" w:hAnsi="Arial"/>
                <w:sz w:val="14"/>
                <w:szCs w:val="14"/>
                <w:color w:val="auto"/>
              </w:rPr>
              <w:t>—</w:t>
            </w:r>
          </w:p>
        </w:tc>
        <w:tc>
          <w:tcPr>
            <w:tcW w:w="1440" w:type="dxa"/>
            <w:vAlign w:val="bottom"/>
          </w:tcPr>
          <w:p>
            <w:pPr>
              <w:jc w:val="right"/>
              <w:ind w:right="288"/>
              <w:spacing w:after="0" w:line="153"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r>
      <w:tr>
        <w:trPr>
          <w:trHeight w:val="190"/>
        </w:trPr>
        <w:tc>
          <w:tcPr>
            <w:tcW w:w="7880" w:type="dxa"/>
            <w:vAlign w:val="bottom"/>
            <w:gridSpan w:val="3"/>
          </w:tcPr>
          <w:p>
            <w:pPr>
              <w:ind w:left="60"/>
              <w:spacing w:after="0"/>
              <w:rPr>
                <w:sz w:val="20"/>
                <w:szCs w:val="20"/>
                <w:color w:val="auto"/>
              </w:rPr>
            </w:pPr>
            <w:r>
              <w:rPr>
                <w:rFonts w:ascii="Arial" w:cs="Arial" w:eastAsia="Arial" w:hAnsi="Arial"/>
                <w:sz w:val="14"/>
                <w:szCs w:val="14"/>
                <w:color w:val="auto"/>
              </w:rPr>
              <w:t>Fair Value or Total Compensation</w:t>
            </w:r>
          </w:p>
        </w:tc>
        <w:tc>
          <w:tcPr>
            <w:tcW w:w="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5"/>
        </w:trPr>
        <w:tc>
          <w:tcPr>
            <w:tcW w:w="600" w:type="dxa"/>
            <w:vAlign w:val="bottom"/>
          </w:tcPr>
          <w:p>
            <w:pPr>
              <w:spacing w:after="0"/>
              <w:rPr>
                <w:sz w:val="3"/>
                <w:szCs w:val="3"/>
                <w:color w:val="auto"/>
              </w:rPr>
            </w:pPr>
          </w:p>
        </w:tc>
        <w:tc>
          <w:tcPr>
            <w:tcW w:w="728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7880" w:type="dxa"/>
            <w:vAlign w:val="bottom"/>
            <w:tcBorders>
              <w:left w:val="single" w:sz="8" w:color="DDF2F9"/>
            </w:tcBorders>
            <w:gridSpan w:val="3"/>
            <w:shd w:val="clear" w:color="auto" w:fill="DDF2F9"/>
          </w:tcPr>
          <w:p>
            <w:pPr>
              <w:ind w:left="60"/>
              <w:spacing w:after="0"/>
              <w:rPr>
                <w:sz w:val="20"/>
                <w:szCs w:val="20"/>
                <w:color w:val="auto"/>
              </w:rPr>
            </w:pPr>
            <w:r>
              <w:rPr>
                <w:rFonts w:ascii="Arial" w:cs="Arial" w:eastAsia="Arial" w:hAnsi="Arial"/>
                <w:sz w:val="14"/>
                <w:szCs w:val="14"/>
                <w:b w:val="1"/>
                <w:bCs w:val="1"/>
                <w:color w:val="auto"/>
              </w:rPr>
              <w:t>Compensation Actually Paid</w:t>
            </w:r>
          </w:p>
        </w:tc>
        <w:tc>
          <w:tcPr>
            <w:tcW w:w="560" w:type="dxa"/>
            <w:vAlign w:val="bottom"/>
            <w:shd w:val="clear" w:color="auto" w:fill="DDF2F9"/>
          </w:tcPr>
          <w:p>
            <w:pPr>
              <w:ind w:lef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DDF2F9"/>
          </w:tcPr>
          <w:p>
            <w:pPr>
              <w:jc w:val="right"/>
              <w:ind w:right="288"/>
              <w:spacing w:after="0"/>
              <w:rPr>
                <w:sz w:val="20"/>
                <w:szCs w:val="20"/>
                <w:color w:val="auto"/>
              </w:rPr>
            </w:pPr>
            <w:r>
              <w:rPr>
                <w:rFonts w:ascii="Arial" w:cs="Arial" w:eastAsia="Arial" w:hAnsi="Arial"/>
                <w:sz w:val="14"/>
                <w:szCs w:val="14"/>
                <w:color w:val="auto"/>
              </w:rPr>
              <w:t>12,827,121</w:t>
            </w:r>
          </w:p>
        </w:tc>
        <w:tc>
          <w:tcPr>
            <w:tcW w:w="1140" w:type="dxa"/>
            <w:vAlign w:val="bottom"/>
            <w:shd w:val="clear" w:color="auto" w:fill="DDF2F9"/>
          </w:tcPr>
          <w:p>
            <w:pPr>
              <w:jc w:val="right"/>
              <w:ind w:right="48"/>
              <w:spacing w:after="0"/>
              <w:rPr>
                <w:sz w:val="20"/>
                <w:szCs w:val="20"/>
                <w:color w:val="auto"/>
              </w:rPr>
            </w:pPr>
            <w:r>
              <w:rPr>
                <w:rFonts w:ascii="Arial" w:cs="Arial" w:eastAsia="Arial" w:hAnsi="Arial"/>
                <w:sz w:val="14"/>
                <w:szCs w:val="14"/>
                <w:color w:val="auto"/>
              </w:rPr>
              <w:t>5,138,863</w:t>
            </w:r>
          </w:p>
        </w:tc>
      </w:tr>
    </w:tbl>
    <w:p>
      <w:pPr>
        <w:spacing w:after="0" w:line="112" w:lineRule="exact"/>
        <w:rPr>
          <w:sz w:val="20"/>
          <w:szCs w:val="20"/>
          <w:color w:val="auto"/>
        </w:rPr>
      </w:pPr>
    </w:p>
    <w:p>
      <w:pPr>
        <w:ind w:left="1660" w:right="860" w:hanging="775"/>
        <w:spacing w:after="0" w:line="285" w:lineRule="auto"/>
        <w:tabs>
          <w:tab w:leader="none" w:pos="1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figure is the average of the total compensation paid to our NEOs other than our PEO in each listed year, as shown in our Summary Compensation Table for such listed year. The names of the non-PEO NEOs in each year are listed in the table below.</w:t>
      </w:r>
    </w:p>
    <w:p>
      <w:pPr>
        <w:spacing w:after="0" w:line="99"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3320" w:type="dxa"/>
            <w:vAlign w:val="bottom"/>
            <w:shd w:val="clear" w:color="auto" w:fill="549EFF"/>
          </w:tcPr>
          <w:p>
            <w:pPr>
              <w:jc w:val="center"/>
              <w:spacing w:after="0"/>
              <w:rPr>
                <w:sz w:val="20"/>
                <w:szCs w:val="20"/>
                <w:color w:val="auto"/>
              </w:rPr>
            </w:pPr>
            <w:r>
              <w:rPr>
                <w:rFonts w:ascii="Arial" w:cs="Arial" w:eastAsia="Arial" w:hAnsi="Arial"/>
                <w:sz w:val="14"/>
                <w:szCs w:val="14"/>
                <w:b w:val="1"/>
                <w:bCs w:val="1"/>
                <w:color w:val="FFFFFF"/>
              </w:rPr>
              <w:t>2020*</w:t>
            </w:r>
          </w:p>
        </w:tc>
        <w:tc>
          <w:tcPr>
            <w:tcW w:w="3200" w:type="dxa"/>
            <w:vAlign w:val="bottom"/>
            <w:shd w:val="clear" w:color="auto" w:fill="549EFF"/>
          </w:tcPr>
          <w:p>
            <w:pPr>
              <w:jc w:val="center"/>
              <w:ind w:left="48"/>
              <w:spacing w:after="0"/>
              <w:rPr>
                <w:sz w:val="20"/>
                <w:szCs w:val="20"/>
                <w:color w:val="auto"/>
              </w:rPr>
            </w:pPr>
            <w:r>
              <w:rPr>
                <w:rFonts w:ascii="Arial" w:cs="Arial" w:eastAsia="Arial" w:hAnsi="Arial"/>
                <w:sz w:val="14"/>
                <w:szCs w:val="14"/>
                <w:b w:val="1"/>
                <w:bCs w:val="1"/>
                <w:color w:val="FFFFFF"/>
              </w:rPr>
              <w:t>2021</w:t>
            </w:r>
          </w:p>
        </w:tc>
        <w:tc>
          <w:tcPr>
            <w:tcW w:w="2960" w:type="dxa"/>
            <w:vAlign w:val="bottom"/>
            <w:shd w:val="clear" w:color="auto" w:fill="549EFF"/>
          </w:tcPr>
          <w:p>
            <w:pPr>
              <w:jc w:val="center"/>
              <w:ind w:left="48"/>
              <w:spacing w:after="0"/>
              <w:rPr>
                <w:sz w:val="20"/>
                <w:szCs w:val="20"/>
                <w:color w:val="auto"/>
              </w:rPr>
            </w:pPr>
            <w:r>
              <w:rPr>
                <w:rFonts w:ascii="Arial" w:cs="Arial" w:eastAsia="Arial" w:hAnsi="Arial"/>
                <w:sz w:val="14"/>
                <w:szCs w:val="14"/>
                <w:b w:val="1"/>
                <w:bCs w:val="1"/>
                <w:color w:val="FFFFFF"/>
              </w:rPr>
              <w:t>2022</w:t>
            </w:r>
          </w:p>
        </w:tc>
      </w:tr>
      <w:tr>
        <w:trPr>
          <w:trHeight w:val="162"/>
        </w:trPr>
        <w:tc>
          <w:tcPr>
            <w:tcW w:w="3320" w:type="dxa"/>
            <w:vAlign w:val="bottom"/>
          </w:tcPr>
          <w:p>
            <w:pPr>
              <w:jc w:val="center"/>
              <w:spacing w:after="0"/>
              <w:rPr>
                <w:sz w:val="20"/>
                <w:szCs w:val="20"/>
                <w:color w:val="auto"/>
              </w:rPr>
            </w:pPr>
            <w:r>
              <w:rPr>
                <w:rFonts w:ascii="Arial" w:cs="Arial" w:eastAsia="Arial" w:hAnsi="Arial"/>
                <w:sz w:val="14"/>
                <w:szCs w:val="14"/>
                <w:color w:val="auto"/>
              </w:rPr>
              <w:t>Thakar, Sumedh S.</w:t>
            </w:r>
          </w:p>
        </w:tc>
        <w:tc>
          <w:tcPr>
            <w:tcW w:w="3200" w:type="dxa"/>
            <w:vAlign w:val="bottom"/>
          </w:tcPr>
          <w:p>
            <w:pPr>
              <w:jc w:val="center"/>
              <w:ind w:left="48"/>
              <w:spacing w:after="0"/>
              <w:rPr>
                <w:sz w:val="20"/>
                <w:szCs w:val="20"/>
                <w:color w:val="auto"/>
              </w:rPr>
            </w:pPr>
            <w:r>
              <w:rPr>
                <w:rFonts w:ascii="Arial" w:cs="Arial" w:eastAsia="Arial" w:hAnsi="Arial"/>
                <w:sz w:val="14"/>
                <w:szCs w:val="14"/>
                <w:color w:val="auto"/>
              </w:rPr>
              <w:t>Kim, Joo Mi</w:t>
            </w:r>
          </w:p>
        </w:tc>
        <w:tc>
          <w:tcPr>
            <w:tcW w:w="2960" w:type="dxa"/>
            <w:vAlign w:val="bottom"/>
          </w:tcPr>
          <w:p>
            <w:pPr>
              <w:jc w:val="center"/>
              <w:ind w:left="48"/>
              <w:spacing w:after="0"/>
              <w:rPr>
                <w:sz w:val="20"/>
                <w:szCs w:val="20"/>
                <w:color w:val="auto"/>
              </w:rPr>
            </w:pPr>
            <w:r>
              <w:rPr>
                <w:rFonts w:ascii="Arial" w:cs="Arial" w:eastAsia="Arial" w:hAnsi="Arial"/>
                <w:sz w:val="14"/>
                <w:szCs w:val="14"/>
                <w:color w:val="auto"/>
              </w:rPr>
              <w:t>Kim, Joo Mi</w:t>
            </w:r>
          </w:p>
        </w:tc>
      </w:tr>
      <w:tr>
        <w:trPr>
          <w:trHeight w:val="162"/>
        </w:trPr>
        <w:tc>
          <w:tcPr>
            <w:tcW w:w="3320" w:type="dxa"/>
            <w:vAlign w:val="bottom"/>
            <w:shd w:val="clear" w:color="auto" w:fill="DDF2F9"/>
          </w:tcPr>
          <w:p>
            <w:pPr>
              <w:jc w:val="center"/>
              <w:spacing w:after="0"/>
              <w:rPr>
                <w:sz w:val="20"/>
                <w:szCs w:val="20"/>
                <w:color w:val="auto"/>
              </w:rPr>
            </w:pPr>
            <w:r>
              <w:rPr>
                <w:rFonts w:ascii="Arial" w:cs="Arial" w:eastAsia="Arial" w:hAnsi="Arial"/>
                <w:sz w:val="14"/>
                <w:szCs w:val="14"/>
                <w:color w:val="auto"/>
              </w:rPr>
              <w:t>Kim, Joo Mi</w:t>
            </w:r>
          </w:p>
        </w:tc>
        <w:tc>
          <w:tcPr>
            <w:tcW w:w="3200" w:type="dxa"/>
            <w:vAlign w:val="bottom"/>
            <w:shd w:val="clear" w:color="auto" w:fill="DDF2F9"/>
          </w:tcPr>
          <w:p>
            <w:pPr>
              <w:jc w:val="center"/>
              <w:ind w:left="68"/>
              <w:spacing w:after="0"/>
              <w:rPr>
                <w:sz w:val="20"/>
                <w:szCs w:val="20"/>
                <w:color w:val="auto"/>
              </w:rPr>
            </w:pPr>
            <w:r>
              <w:rPr>
                <w:rFonts w:ascii="Arial" w:cs="Arial" w:eastAsia="Arial" w:hAnsi="Arial"/>
                <w:sz w:val="14"/>
                <w:szCs w:val="14"/>
                <w:color w:val="auto"/>
              </w:rPr>
              <w:t>Posey, Bruce K.</w:t>
            </w:r>
          </w:p>
        </w:tc>
        <w:tc>
          <w:tcPr>
            <w:tcW w:w="2960" w:type="dxa"/>
            <w:vAlign w:val="bottom"/>
            <w:shd w:val="clear" w:color="auto" w:fill="DDF2F9"/>
          </w:tcPr>
          <w:p>
            <w:pPr>
              <w:jc w:val="center"/>
              <w:ind w:left="28"/>
              <w:spacing w:after="0"/>
              <w:rPr>
                <w:sz w:val="20"/>
                <w:szCs w:val="20"/>
                <w:color w:val="auto"/>
              </w:rPr>
            </w:pPr>
            <w:r>
              <w:rPr>
                <w:rFonts w:ascii="Arial" w:cs="Arial" w:eastAsia="Arial" w:hAnsi="Arial"/>
                <w:sz w:val="14"/>
                <w:szCs w:val="14"/>
                <w:color w:val="auto"/>
              </w:rPr>
              <w:t>Posey, Bruce K.</w:t>
            </w:r>
          </w:p>
        </w:tc>
      </w:tr>
      <w:tr>
        <w:trPr>
          <w:trHeight w:val="162"/>
        </w:trPr>
        <w:tc>
          <w:tcPr>
            <w:tcW w:w="3320" w:type="dxa"/>
            <w:vAlign w:val="bottom"/>
          </w:tcPr>
          <w:p>
            <w:pPr>
              <w:jc w:val="center"/>
              <w:spacing w:after="0"/>
              <w:rPr>
                <w:sz w:val="20"/>
                <w:szCs w:val="20"/>
                <w:color w:val="auto"/>
              </w:rPr>
            </w:pPr>
            <w:r>
              <w:rPr>
                <w:rFonts w:ascii="Arial" w:cs="Arial" w:eastAsia="Arial" w:hAnsi="Arial"/>
                <w:sz w:val="14"/>
                <w:szCs w:val="14"/>
                <w:color w:val="auto"/>
              </w:rPr>
              <w:t>Posey, Bruce K.</w:t>
            </w:r>
          </w:p>
        </w:tc>
        <w:tc>
          <w:tcPr>
            <w:tcW w:w="3200" w:type="dxa"/>
            <w:vAlign w:val="bottom"/>
          </w:tcPr>
          <w:p>
            <w:pPr>
              <w:jc w:val="center"/>
              <w:ind w:left="68"/>
              <w:spacing w:after="0"/>
              <w:rPr>
                <w:sz w:val="20"/>
                <w:szCs w:val="20"/>
                <w:color w:val="auto"/>
              </w:rPr>
            </w:pPr>
            <w:r>
              <w:rPr>
                <w:rFonts w:ascii="Arial" w:cs="Arial" w:eastAsia="Arial" w:hAnsi="Arial"/>
                <w:sz w:val="14"/>
                <w:szCs w:val="14"/>
                <w:color w:val="auto"/>
              </w:rPr>
              <w:t>Peters, Allan</w:t>
            </w:r>
          </w:p>
        </w:tc>
        <w:tc>
          <w:tcPr>
            <w:tcW w:w="2960" w:type="dxa"/>
            <w:vAlign w:val="bottom"/>
          </w:tcPr>
          <w:p>
            <w:pPr>
              <w:jc w:val="center"/>
              <w:ind w:left="28"/>
              <w:spacing w:after="0"/>
              <w:rPr>
                <w:sz w:val="20"/>
                <w:szCs w:val="20"/>
                <w:color w:val="auto"/>
              </w:rPr>
            </w:pPr>
            <w:r>
              <w:rPr>
                <w:rFonts w:ascii="Arial" w:cs="Arial" w:eastAsia="Arial" w:hAnsi="Arial"/>
                <w:sz w:val="14"/>
                <w:szCs w:val="14"/>
                <w:color w:val="auto"/>
              </w:rPr>
              <w:t>Peters, Allan</w:t>
            </w:r>
          </w:p>
        </w:tc>
      </w:tr>
      <w:tr>
        <w:trPr>
          <w:trHeight w:val="162"/>
        </w:trPr>
        <w:tc>
          <w:tcPr>
            <w:tcW w:w="3320" w:type="dxa"/>
            <w:vAlign w:val="bottom"/>
            <w:shd w:val="clear" w:color="auto" w:fill="DDF2F9"/>
          </w:tcPr>
          <w:p>
            <w:pPr>
              <w:jc w:val="center"/>
              <w:spacing w:after="0"/>
              <w:rPr>
                <w:sz w:val="20"/>
                <w:szCs w:val="20"/>
                <w:color w:val="auto"/>
              </w:rPr>
            </w:pPr>
            <w:r>
              <w:rPr>
                <w:rFonts w:ascii="Arial" w:cs="Arial" w:eastAsia="Arial" w:hAnsi="Arial"/>
                <w:sz w:val="14"/>
                <w:szCs w:val="14"/>
                <w:color w:val="auto"/>
              </w:rPr>
              <w:t>Fisher, Melissa B.</w:t>
            </w:r>
          </w:p>
        </w:tc>
        <w:tc>
          <w:tcPr>
            <w:tcW w:w="3200" w:type="dxa"/>
            <w:vAlign w:val="bottom"/>
            <w:shd w:val="clear" w:color="auto" w:fill="DDF2F9"/>
          </w:tcPr>
          <w:p>
            <w:pPr>
              <w:spacing w:after="0"/>
              <w:rPr>
                <w:sz w:val="14"/>
                <w:szCs w:val="14"/>
                <w:color w:val="auto"/>
              </w:rPr>
            </w:pPr>
          </w:p>
        </w:tc>
        <w:tc>
          <w:tcPr>
            <w:tcW w:w="2960" w:type="dxa"/>
            <w:vAlign w:val="bottom"/>
            <w:shd w:val="clear" w:color="auto" w:fill="DDF2F9"/>
          </w:tcPr>
          <w:p>
            <w:pPr>
              <w:spacing w:after="0"/>
              <w:rPr>
                <w:sz w:val="14"/>
                <w:szCs w:val="14"/>
                <w:color w:val="auto"/>
              </w:rPr>
            </w:pPr>
          </w:p>
        </w:tc>
      </w:tr>
    </w:tbl>
    <w:p>
      <w:pPr>
        <w:spacing w:after="0" w:line="72"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*Melissa B. Fisher served as CFO through May 29, 2020, Joo Mi Kim served as CFO beginning on June 29, 2020 and in 2021, 2022.</w:t>
      </w:r>
    </w:p>
    <w:p>
      <w:pPr>
        <w:spacing w:after="0" w:line="244" w:lineRule="exact"/>
        <w:rPr>
          <w:sz w:val="20"/>
          <w:szCs w:val="20"/>
          <w:color w:val="auto"/>
        </w:rPr>
      </w:pPr>
    </w:p>
    <w:p>
      <w:pPr>
        <w:ind w:left="1660" w:right="140" w:hanging="775"/>
        <w:spacing w:after="0" w:line="256" w:lineRule="auto"/>
        <w:tabs>
          <w:tab w:leader="none" w:pos="1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figure is the average of compensation actually paid for our NEOs other than our PEO in each listed year. Compensation actually paid does not mean that these NEOs were actually paid those amounts in the listed year, but this is a dollar amount derived by adjusting the average of the Summary Compensation Table total compensation figure for all NEOs other than our PEO for the listed year under the methodology prescribed under the SEC’s rules, as shown in the following table:</w:t>
      </w:r>
    </w:p>
    <w:p>
      <w:pPr>
        <w:spacing w:after="0" w:line="69" w:lineRule="exact"/>
        <w:rPr>
          <w:sz w:val="20"/>
          <w:szCs w:val="20"/>
          <w:color w:val="auto"/>
        </w:rPr>
      </w:pPr>
    </w:p>
    <w:tbl>
      <w:tblPr>
        <w:tblLayout w:type="fixed"/>
        <w:tblInd w:w="130" w:type="dxa"/>
        <w:tblCellMar>
          <w:top w:w="0" w:type="dxa"/>
          <w:left w:w="0" w:type="dxa"/>
          <w:bottom w:w="0" w:type="dxa"/>
          <w:right w:w="0" w:type="dxa"/>
        </w:tblCellMar>
      </w:tblPr>
      <w:tr>
        <w:trPr>
          <w:trHeight w:val="204"/>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Non-PEO NEOs</w:t>
            </w: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4"/>
        </w:trPr>
        <w:tc>
          <w:tcPr>
            <w:tcW w:w="600" w:type="dxa"/>
            <w:vAlign w:val="bottom"/>
            <w:tcBorders>
              <w:left w:val="single" w:sz="8" w:color="549EFF"/>
            </w:tcBorders>
            <w:shd w:val="clear" w:color="auto" w:fill="549EFF"/>
          </w:tcPr>
          <w:p>
            <w:pPr>
              <w:spacing w:after="0"/>
              <w:rPr>
                <w:sz w:val="19"/>
                <w:szCs w:val="19"/>
                <w:color w:val="auto"/>
              </w:rPr>
            </w:pPr>
          </w:p>
        </w:tc>
        <w:tc>
          <w:tcPr>
            <w:tcW w:w="6660" w:type="dxa"/>
            <w:vAlign w:val="bottom"/>
            <w:shd w:val="clear" w:color="auto" w:fill="549EFF"/>
          </w:tcPr>
          <w:p>
            <w:pPr>
              <w:spacing w:after="0"/>
              <w:rPr>
                <w:sz w:val="19"/>
                <w:szCs w:val="19"/>
                <w:color w:val="auto"/>
              </w:rPr>
            </w:pPr>
          </w:p>
        </w:tc>
        <w:tc>
          <w:tcPr>
            <w:tcW w:w="1420" w:type="dxa"/>
            <w:vAlign w:val="bottom"/>
            <w:shd w:val="clear" w:color="auto" w:fill="549EFF"/>
          </w:tcPr>
          <w:p>
            <w:pPr>
              <w:jc w:val="right"/>
              <w:ind w:right="488"/>
              <w:spacing w:after="0"/>
              <w:rPr>
                <w:sz w:val="20"/>
                <w:szCs w:val="20"/>
                <w:color w:val="auto"/>
              </w:rPr>
            </w:pPr>
            <w:r>
              <w:rPr>
                <w:rFonts w:ascii="Arial" w:cs="Arial" w:eastAsia="Arial" w:hAnsi="Arial"/>
                <w:sz w:val="14"/>
                <w:szCs w:val="14"/>
                <w:b w:val="1"/>
                <w:bCs w:val="1"/>
                <w:color w:val="FFFFFF"/>
              </w:rPr>
              <w:t>2020</w:t>
            </w:r>
          </w:p>
        </w:tc>
        <w:tc>
          <w:tcPr>
            <w:tcW w:w="1220" w:type="dxa"/>
            <w:vAlign w:val="bottom"/>
            <w:shd w:val="clear" w:color="auto" w:fill="549EFF"/>
          </w:tcPr>
          <w:p>
            <w:pPr>
              <w:jc w:val="right"/>
              <w:ind w:right="468"/>
              <w:spacing w:after="0"/>
              <w:rPr>
                <w:sz w:val="20"/>
                <w:szCs w:val="20"/>
                <w:color w:val="auto"/>
              </w:rPr>
            </w:pPr>
            <w:r>
              <w:rPr>
                <w:rFonts w:ascii="Arial" w:cs="Arial" w:eastAsia="Arial" w:hAnsi="Arial"/>
                <w:sz w:val="14"/>
                <w:szCs w:val="14"/>
                <w:b w:val="1"/>
                <w:bCs w:val="1"/>
                <w:color w:val="FFFFFF"/>
              </w:rPr>
              <w:t>2021</w:t>
            </w:r>
          </w:p>
        </w:tc>
        <w:tc>
          <w:tcPr>
            <w:tcW w:w="1120" w:type="dxa"/>
            <w:vAlign w:val="bottom"/>
            <w:shd w:val="clear" w:color="auto" w:fill="549EFF"/>
          </w:tcPr>
          <w:p>
            <w:pPr>
              <w:jc w:val="right"/>
              <w:ind w:right="328"/>
              <w:spacing w:after="0"/>
              <w:rPr>
                <w:sz w:val="20"/>
                <w:szCs w:val="20"/>
                <w:color w:val="auto"/>
              </w:rPr>
            </w:pPr>
            <w:r>
              <w:rPr>
                <w:rFonts w:ascii="Arial" w:cs="Arial" w:eastAsia="Arial" w:hAnsi="Arial"/>
                <w:sz w:val="14"/>
                <w:szCs w:val="14"/>
                <w:b w:val="1"/>
                <w:bCs w:val="1"/>
                <w:color w:val="FFFFFF"/>
              </w:rPr>
              <w:t>2022</w:t>
            </w:r>
          </w:p>
        </w:tc>
      </w:tr>
      <w:tr>
        <w:trPr>
          <w:trHeight w:val="162"/>
        </w:trPr>
        <w:tc>
          <w:tcPr>
            <w:tcW w:w="7260" w:type="dxa"/>
            <w:vAlign w:val="bottom"/>
            <w:gridSpan w:val="2"/>
          </w:tcPr>
          <w:p>
            <w:pPr>
              <w:ind w:left="60"/>
              <w:spacing w:after="0"/>
              <w:rPr>
                <w:sz w:val="20"/>
                <w:szCs w:val="20"/>
                <w:color w:val="auto"/>
              </w:rPr>
            </w:pPr>
            <w:r>
              <w:rPr>
                <w:rFonts w:ascii="Arial" w:cs="Arial" w:eastAsia="Arial" w:hAnsi="Arial"/>
                <w:sz w:val="14"/>
                <w:szCs w:val="14"/>
                <w:b w:val="1"/>
                <w:bCs w:val="1"/>
                <w:color w:val="auto"/>
              </w:rPr>
              <w:t>Summary Compensation Table Total</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4,516,347</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4,140,001</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4,444,562</w:t>
            </w:r>
          </w:p>
        </w:tc>
      </w:tr>
      <w:tr>
        <w:trPr>
          <w:trHeight w:val="175"/>
        </w:trPr>
        <w:tc>
          <w:tcPr>
            <w:tcW w:w="7260" w:type="dxa"/>
            <w:vAlign w:val="bottom"/>
            <w:tcBorders>
              <w:left w:val="single" w:sz="8" w:color="DDF2F9"/>
            </w:tcBorders>
            <w:gridSpan w:val="2"/>
            <w:shd w:val="clear" w:color="auto" w:fill="DDF2F9"/>
          </w:tcPr>
          <w:p>
            <w:pPr>
              <w:ind w:left="60"/>
              <w:spacing w:after="0"/>
              <w:rPr>
                <w:sz w:val="20"/>
                <w:szCs w:val="20"/>
                <w:color w:val="auto"/>
              </w:rPr>
            </w:pPr>
            <w:r>
              <w:rPr>
                <w:rFonts w:ascii="Arial" w:cs="Arial" w:eastAsia="Arial" w:hAnsi="Arial"/>
                <w:sz w:val="14"/>
                <w:szCs w:val="14"/>
                <w:color w:val="auto"/>
              </w:rPr>
              <w:t>Subtract Grant Date Fair Value of Option Awards and Stock Awards Granted in Fiscal Year</w:t>
            </w:r>
          </w:p>
        </w:tc>
        <w:tc>
          <w:tcPr>
            <w:tcW w:w="1420" w:type="dxa"/>
            <w:vAlign w:val="bottom"/>
            <w:shd w:val="clear" w:color="auto" w:fill="DDF2F9"/>
          </w:tcPr>
          <w:p>
            <w:pPr>
              <w:jc w:val="right"/>
              <w:ind w:right="188"/>
              <w:spacing w:after="0"/>
              <w:rPr>
                <w:sz w:val="20"/>
                <w:szCs w:val="20"/>
                <w:color w:val="auto"/>
              </w:rPr>
            </w:pPr>
            <w:r>
              <w:rPr>
                <w:rFonts w:ascii="Arial" w:cs="Arial" w:eastAsia="Arial" w:hAnsi="Arial"/>
                <w:sz w:val="14"/>
                <w:szCs w:val="14"/>
                <w:color w:val="auto"/>
              </w:rPr>
              <w:t>(4,120,883)</w:t>
            </w:r>
          </w:p>
        </w:tc>
        <w:tc>
          <w:tcPr>
            <w:tcW w:w="1220" w:type="dxa"/>
            <w:vAlign w:val="bottom"/>
            <w:shd w:val="clear" w:color="auto" w:fill="DDF2F9"/>
          </w:tcPr>
          <w:p>
            <w:pPr>
              <w:jc w:val="right"/>
              <w:ind w:right="168"/>
              <w:spacing w:after="0"/>
              <w:rPr>
                <w:sz w:val="20"/>
                <w:szCs w:val="20"/>
                <w:color w:val="auto"/>
              </w:rPr>
            </w:pPr>
            <w:r>
              <w:rPr>
                <w:rFonts w:ascii="Arial" w:cs="Arial" w:eastAsia="Arial" w:hAnsi="Arial"/>
                <w:sz w:val="14"/>
                <w:szCs w:val="14"/>
                <w:color w:val="auto"/>
              </w:rPr>
              <w:t>(3,625,418)</w:t>
            </w:r>
          </w:p>
        </w:tc>
        <w:tc>
          <w:tcPr>
            <w:tcW w:w="1120" w:type="dxa"/>
            <w:vAlign w:val="bottom"/>
            <w:shd w:val="clear" w:color="auto" w:fill="DDF2F9"/>
          </w:tcPr>
          <w:p>
            <w:pPr>
              <w:jc w:val="right"/>
              <w:ind w:right="68"/>
              <w:spacing w:after="0"/>
              <w:rPr>
                <w:sz w:val="20"/>
                <w:szCs w:val="20"/>
                <w:color w:val="auto"/>
              </w:rPr>
            </w:pPr>
            <w:r>
              <w:rPr>
                <w:rFonts w:ascii="Arial" w:cs="Arial" w:eastAsia="Arial" w:hAnsi="Arial"/>
                <w:sz w:val="14"/>
                <w:szCs w:val="14"/>
                <w:color w:val="auto"/>
              </w:rPr>
              <w:t>(3,952,633)</w:t>
            </w:r>
          </w:p>
        </w:tc>
      </w:tr>
      <w:tr>
        <w:trPr>
          <w:trHeight w:val="20"/>
        </w:trPr>
        <w:tc>
          <w:tcPr>
            <w:tcW w:w="600" w:type="dxa"/>
            <w:vAlign w:val="bottom"/>
            <w:tcBorders>
              <w:left w:val="single" w:sz="8" w:color="DDF2F9"/>
            </w:tcBorders>
            <w:shd w:val="clear" w:color="auto" w:fill="000000"/>
          </w:tcPr>
          <w:p>
            <w:pPr>
              <w:spacing w:after="0" w:line="20" w:lineRule="exact"/>
              <w:rPr>
                <w:sz w:val="1"/>
                <w:szCs w:val="1"/>
                <w:color w:val="auto"/>
              </w:rPr>
            </w:pPr>
          </w:p>
        </w:tc>
        <w:tc>
          <w:tcPr>
            <w:tcW w:w="6660" w:type="dxa"/>
            <w:vAlign w:val="bottom"/>
            <w:shd w:val="clear" w:color="auto" w:fill="DDF2F9"/>
          </w:tcPr>
          <w:p>
            <w:pPr>
              <w:spacing w:after="0" w:line="20" w:lineRule="exact"/>
              <w:rPr>
                <w:sz w:val="1"/>
                <w:szCs w:val="1"/>
                <w:color w:val="auto"/>
              </w:rPr>
            </w:pPr>
          </w:p>
        </w:tc>
        <w:tc>
          <w:tcPr>
            <w:tcW w:w="1420" w:type="dxa"/>
            <w:vAlign w:val="bottom"/>
            <w:shd w:val="clear" w:color="auto" w:fill="DDF2F9"/>
          </w:tcPr>
          <w:p>
            <w:pPr>
              <w:spacing w:after="0" w:line="20" w:lineRule="exact"/>
              <w:rPr>
                <w:sz w:val="1"/>
                <w:szCs w:val="1"/>
                <w:color w:val="auto"/>
              </w:rPr>
            </w:pPr>
          </w:p>
        </w:tc>
        <w:tc>
          <w:tcPr>
            <w:tcW w:w="1220" w:type="dxa"/>
            <w:vAlign w:val="bottom"/>
            <w:shd w:val="clear" w:color="auto" w:fill="DDF2F9"/>
          </w:tcPr>
          <w:p>
            <w:pPr>
              <w:spacing w:after="0" w:line="20" w:lineRule="exact"/>
              <w:rPr>
                <w:sz w:val="1"/>
                <w:szCs w:val="1"/>
                <w:color w:val="auto"/>
              </w:rPr>
            </w:pPr>
          </w:p>
        </w:tc>
        <w:tc>
          <w:tcPr>
            <w:tcW w:w="1120" w:type="dxa"/>
            <w:vAlign w:val="bottom"/>
            <w:shd w:val="clear" w:color="auto" w:fill="DDF2F9"/>
          </w:tcPr>
          <w:p>
            <w:pPr>
              <w:spacing w:after="0" w:line="20" w:lineRule="exact"/>
              <w:rPr>
                <w:sz w:val="1"/>
                <w:szCs w:val="1"/>
                <w:color w:val="auto"/>
              </w:rPr>
            </w:pPr>
          </w:p>
        </w:tc>
      </w:tr>
    </w:tbl>
    <w:p>
      <w:pPr>
        <w:spacing w:after="0" w:line="18" w:lineRule="exact"/>
        <w:rPr>
          <w:sz w:val="20"/>
          <w:szCs w:val="20"/>
          <w:color w:val="auto"/>
        </w:rPr>
      </w:pPr>
    </w:p>
    <w:p>
      <w:pPr>
        <w:sectPr>
          <w:pgSz w:w="11900" w:h="16838" w:orient="portrait"/>
          <w:cols w:equalWidth="0" w:num="1">
            <w:col w:w="11140"/>
          </w:cols>
          <w:pgMar w:left="320" w:top="482" w:right="439" w:bottom="1440" w:gutter="0" w:footer="0" w:header="0"/>
        </w:sectPr>
      </w:pPr>
    </w:p>
    <w:p>
      <w:pPr>
        <w:ind w:left="180" w:right="220"/>
        <w:spacing w:after="0" w:line="262" w:lineRule="auto"/>
        <w:rPr>
          <w:sz w:val="20"/>
          <w:szCs w:val="20"/>
          <w:color w:val="auto"/>
        </w:rPr>
      </w:pPr>
      <w:r>
        <w:rPr>
          <w:rFonts w:ascii="Arial" w:cs="Arial" w:eastAsia="Arial" w:hAnsi="Arial"/>
          <w:sz w:val="14"/>
          <w:szCs w:val="14"/>
          <w:u w:val="single" w:color="auto"/>
          <w:color w:val="auto"/>
        </w:rPr>
        <w:t>Add</w:t>
      </w:r>
      <w:r>
        <w:rPr>
          <w:rFonts w:ascii="Arial" w:cs="Arial" w:eastAsia="Arial" w:hAnsi="Arial"/>
          <w:sz w:val="14"/>
          <w:szCs w:val="14"/>
          <w:color w:val="auto"/>
        </w:rPr>
        <w:t xml:space="preserve"> Fair Value at Fiscal Year-End of Outstanding and Unvested Option Awards and Stock Awards Granted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4612005" cy="222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612005" cy="222885"/>
                    </a:xfrm>
                    <a:prstGeom prst="rect">
                      <a:avLst/>
                    </a:prstGeom>
                    <a:noFill/>
                  </pic:spPr>
                </pic:pic>
              </a:graphicData>
            </a:graphic>
          </wp:anchor>
        </w:drawing>
      </w:r>
    </w:p>
    <w:p>
      <w:pPr>
        <w:ind w:left="180" w:right="40"/>
        <w:spacing w:after="0" w:line="261" w:lineRule="auto"/>
        <w:rPr>
          <w:sz w:val="20"/>
          <w:szCs w:val="20"/>
          <w:color w:val="auto"/>
        </w:rPr>
      </w:pPr>
      <w:r>
        <w:rPr>
          <w:rFonts w:ascii="Arial" w:cs="Arial" w:eastAsia="Arial" w:hAnsi="Arial"/>
          <w:sz w:val="14"/>
          <w:szCs w:val="14"/>
          <w:u w:val="single" w:color="auto"/>
          <w:color w:val="auto"/>
        </w:rPr>
        <w:t>Adjust for</w:t>
      </w:r>
      <w:r>
        <w:rPr>
          <w:rFonts w:ascii="Arial" w:cs="Arial" w:eastAsia="Arial" w:hAnsi="Arial"/>
          <w:sz w:val="14"/>
          <w:szCs w:val="14"/>
          <w:color w:val="auto"/>
        </w:rPr>
        <w:t xml:space="preserve"> Change in Fair Value of Outstanding and Unvested Option Awards and Stock Awards Granted in Prior Fiscal Years</w:t>
      </w:r>
    </w:p>
    <w:p>
      <w:pPr>
        <w:spacing w:after="0" w:line="1" w:lineRule="exact"/>
        <w:rPr>
          <w:sz w:val="20"/>
          <w:szCs w:val="20"/>
          <w:color w:val="auto"/>
        </w:rPr>
      </w:pPr>
    </w:p>
    <w:p>
      <w:pPr>
        <w:ind w:left="180" w:right="140"/>
        <w:spacing w:after="0" w:line="261" w:lineRule="auto"/>
        <w:rPr>
          <w:sz w:val="20"/>
          <w:szCs w:val="20"/>
          <w:color w:val="auto"/>
        </w:rPr>
      </w:pPr>
      <w:r>
        <w:rPr>
          <w:rFonts w:ascii="Arial" w:cs="Arial" w:eastAsia="Arial" w:hAnsi="Arial"/>
          <w:sz w:val="14"/>
          <w:szCs w:val="14"/>
          <w:u w:val="single" w:color="auto"/>
          <w:color w:val="auto"/>
        </w:rPr>
        <w:t>Adjust for</w:t>
      </w:r>
      <w:r>
        <w:rPr>
          <w:rFonts w:ascii="Arial" w:cs="Arial" w:eastAsia="Arial" w:hAnsi="Arial"/>
          <w:sz w:val="14"/>
          <w:szCs w:val="14"/>
          <w:color w:val="auto"/>
        </w:rPr>
        <w:t xml:space="preserve"> Fair Value at Vesting of Option Awards and Stock Awards Granted in Fiscal Year That Vested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4612005"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612005" cy="222885"/>
                    </a:xfrm>
                    <a:prstGeom prst="rect">
                      <a:avLst/>
                    </a:prstGeom>
                    <a:noFill/>
                  </pic:spPr>
                </pic:pic>
              </a:graphicData>
            </a:graphic>
          </wp:anchor>
        </w:drawing>
      </w:r>
    </w:p>
    <w:p>
      <w:pPr>
        <w:ind w:left="180" w:right="160"/>
        <w:spacing w:after="0" w:line="261" w:lineRule="auto"/>
        <w:rPr>
          <w:sz w:val="20"/>
          <w:szCs w:val="20"/>
          <w:color w:val="auto"/>
        </w:rPr>
      </w:pPr>
      <w:r>
        <w:rPr>
          <w:rFonts w:ascii="Arial" w:cs="Arial" w:eastAsia="Arial" w:hAnsi="Arial"/>
          <w:sz w:val="14"/>
          <w:szCs w:val="14"/>
          <w:u w:val="single" w:color="auto"/>
          <w:color w:val="auto"/>
        </w:rPr>
        <w:t>Adjust for</w:t>
      </w:r>
      <w:r>
        <w:rPr>
          <w:rFonts w:ascii="Arial" w:cs="Arial" w:eastAsia="Arial" w:hAnsi="Arial"/>
          <w:sz w:val="14"/>
          <w:szCs w:val="14"/>
          <w:color w:val="auto"/>
        </w:rPr>
        <w:t xml:space="preserve"> Change in Fair Value as of Vesting Date of Option Awards and Stock Awards Granted in Prior Fiscal Years For Which Applicable Vesting Conditions Were Satisfied During Fiscal Year</w:t>
      </w:r>
    </w:p>
    <w:p>
      <w:pPr>
        <w:spacing w:after="0" w:line="1" w:lineRule="exact"/>
        <w:rPr>
          <w:sz w:val="20"/>
          <w:szCs w:val="20"/>
          <w:color w:val="auto"/>
        </w:rPr>
      </w:pPr>
    </w:p>
    <w:p>
      <w:pPr>
        <w:ind w:left="180"/>
        <w:spacing w:after="0" w:line="261" w:lineRule="auto"/>
        <w:rPr>
          <w:sz w:val="20"/>
          <w:szCs w:val="20"/>
          <w:color w:val="auto"/>
        </w:rPr>
      </w:pPr>
      <w:r>
        <w:rPr>
          <w:rFonts w:ascii="Arial" w:cs="Arial" w:eastAsia="Arial" w:hAnsi="Arial"/>
          <w:sz w:val="14"/>
          <w:szCs w:val="14"/>
          <w:u w:val="single" w:color="auto"/>
          <w:color w:val="auto"/>
        </w:rPr>
        <w:t>Subtract</w:t>
      </w:r>
      <w:r>
        <w:rPr>
          <w:rFonts w:ascii="Arial" w:cs="Arial" w:eastAsia="Arial" w:hAnsi="Arial"/>
          <w:sz w:val="14"/>
          <w:szCs w:val="14"/>
          <w:color w:val="auto"/>
        </w:rPr>
        <w:t xml:space="preserve"> Fair Value as of Prior Fiscal Year-End of Option Awards and Stock Awards Granted in Prior Fiscal Years That Failed to Meet Applicable Vesting Conditions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4612005" cy="2228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612005" cy="222885"/>
                    </a:xfrm>
                    <a:prstGeom prst="rect">
                      <a:avLst/>
                    </a:prstGeom>
                    <a:noFill/>
                  </pic:spPr>
                </pic:pic>
              </a:graphicData>
            </a:graphic>
          </wp:anchor>
        </w:drawing>
      </w:r>
    </w:p>
    <w:p>
      <w:pPr>
        <w:ind w:left="180" w:right="60"/>
        <w:spacing w:after="0" w:line="261" w:lineRule="auto"/>
        <w:rPr>
          <w:sz w:val="20"/>
          <w:szCs w:val="20"/>
          <w:color w:val="auto"/>
        </w:rPr>
      </w:pPr>
      <w:r>
        <w:rPr>
          <w:rFonts w:ascii="Arial" w:cs="Arial" w:eastAsia="Arial" w:hAnsi="Arial"/>
          <w:sz w:val="14"/>
          <w:szCs w:val="14"/>
          <w:color w:val="auto"/>
        </w:rPr>
        <w:t>Add Value of Dividends or other Earnings Paid on Stock or Option Awards not Otherwise Reflected in Fair Value or Total Compensation</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jc w:val="right"/>
              <w:ind w:right="228"/>
              <w:spacing w:after="0"/>
              <w:rPr>
                <w:sz w:val="20"/>
                <w:szCs w:val="20"/>
                <w:color w:val="auto"/>
              </w:rPr>
            </w:pPr>
            <w:r>
              <w:rPr>
                <w:rFonts w:ascii="Arial" w:cs="Arial" w:eastAsia="Arial" w:hAnsi="Arial"/>
                <w:sz w:val="14"/>
                <w:szCs w:val="14"/>
                <w:color w:val="auto"/>
              </w:rPr>
              <w:t>4,849,573</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4,474,781</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2,907,240</w:t>
            </w:r>
          </w:p>
        </w:tc>
      </w:tr>
      <w:tr>
        <w:trPr>
          <w:trHeight w:val="62"/>
        </w:trPr>
        <w:tc>
          <w:tcPr>
            <w:tcW w:w="14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89"/>
        </w:trPr>
        <w:tc>
          <w:tcPr>
            <w:tcW w:w="1460" w:type="dxa"/>
            <w:vAlign w:val="bottom"/>
            <w:shd w:val="clear" w:color="auto" w:fill="DDF2F9"/>
          </w:tcPr>
          <w:p>
            <w:pPr>
              <w:jc w:val="right"/>
              <w:ind w:right="228"/>
              <w:spacing w:after="0"/>
              <w:rPr>
                <w:sz w:val="20"/>
                <w:szCs w:val="20"/>
                <w:color w:val="auto"/>
              </w:rPr>
            </w:pPr>
            <w:r>
              <w:rPr>
                <w:rFonts w:ascii="Arial" w:cs="Arial" w:eastAsia="Arial" w:hAnsi="Arial"/>
                <w:sz w:val="14"/>
                <w:szCs w:val="14"/>
                <w:color w:val="auto"/>
              </w:rPr>
              <w:t>1,598,905</w:t>
            </w:r>
          </w:p>
        </w:tc>
        <w:tc>
          <w:tcPr>
            <w:tcW w:w="1240" w:type="dxa"/>
            <w:vAlign w:val="bottom"/>
            <w:shd w:val="clear" w:color="auto" w:fill="DDF2F9"/>
          </w:tcPr>
          <w:p>
            <w:pPr>
              <w:jc w:val="right"/>
              <w:ind w:right="228"/>
              <w:spacing w:after="0"/>
              <w:rPr>
                <w:sz w:val="20"/>
                <w:szCs w:val="20"/>
                <w:color w:val="auto"/>
              </w:rPr>
            </w:pPr>
            <w:r>
              <w:rPr>
                <w:rFonts w:ascii="Arial" w:cs="Arial" w:eastAsia="Arial" w:hAnsi="Arial"/>
                <w:sz w:val="14"/>
                <w:szCs w:val="14"/>
                <w:color w:val="auto"/>
              </w:rPr>
              <w:t>415,872</w:t>
            </w:r>
          </w:p>
        </w:tc>
        <w:tc>
          <w:tcPr>
            <w:tcW w:w="1060" w:type="dxa"/>
            <w:vAlign w:val="bottom"/>
            <w:shd w:val="clear" w:color="auto" w:fill="DDF2F9"/>
          </w:tcPr>
          <w:p>
            <w:pPr>
              <w:jc w:val="right"/>
              <w:ind w:right="68"/>
              <w:spacing w:after="0"/>
              <w:rPr>
                <w:sz w:val="20"/>
                <w:szCs w:val="20"/>
                <w:color w:val="auto"/>
              </w:rPr>
            </w:pPr>
            <w:r>
              <w:rPr>
                <w:rFonts w:ascii="Arial" w:cs="Arial" w:eastAsia="Arial" w:hAnsi="Arial"/>
                <w:sz w:val="14"/>
                <w:szCs w:val="14"/>
                <w:color w:val="auto"/>
              </w:rPr>
              <w:t>(782,777)</w:t>
            </w:r>
          </w:p>
        </w:tc>
      </w:tr>
      <w:tr>
        <w:trPr>
          <w:trHeight w:val="62"/>
        </w:trPr>
        <w:tc>
          <w:tcPr>
            <w:tcW w:w="1460" w:type="dxa"/>
            <w:vAlign w:val="bottom"/>
            <w:shd w:val="clear" w:color="auto" w:fill="DDF2F9"/>
          </w:tcPr>
          <w:p>
            <w:pPr>
              <w:spacing w:after="0"/>
              <w:rPr>
                <w:sz w:val="5"/>
                <w:szCs w:val="5"/>
                <w:color w:val="auto"/>
              </w:rPr>
            </w:pPr>
          </w:p>
        </w:tc>
        <w:tc>
          <w:tcPr>
            <w:tcW w:w="1240" w:type="dxa"/>
            <w:vAlign w:val="bottom"/>
            <w:shd w:val="clear" w:color="auto" w:fill="DDF2F9"/>
          </w:tcPr>
          <w:p>
            <w:pPr>
              <w:spacing w:after="0"/>
              <w:rPr>
                <w:sz w:val="5"/>
                <w:szCs w:val="5"/>
                <w:color w:val="auto"/>
              </w:rPr>
            </w:pPr>
          </w:p>
        </w:tc>
        <w:tc>
          <w:tcPr>
            <w:tcW w:w="1060" w:type="dxa"/>
            <w:vAlign w:val="bottom"/>
            <w:shd w:val="clear" w:color="auto" w:fill="DDF2F9"/>
          </w:tcPr>
          <w:p>
            <w:pPr>
              <w:spacing w:after="0"/>
              <w:rPr>
                <w:sz w:val="5"/>
                <w:szCs w:val="5"/>
                <w:color w:val="auto"/>
              </w:rPr>
            </w:pPr>
          </w:p>
        </w:tc>
      </w:tr>
      <w:tr>
        <w:trPr>
          <w:trHeight w:val="289"/>
        </w:trPr>
        <w:tc>
          <w:tcPr>
            <w:tcW w:w="1460" w:type="dxa"/>
            <w:vAlign w:val="bottom"/>
          </w:tcPr>
          <w:p>
            <w:pPr>
              <w:jc w:val="right"/>
              <w:ind w:right="228"/>
              <w:spacing w:after="0"/>
              <w:rPr>
                <w:sz w:val="20"/>
                <w:szCs w:val="20"/>
                <w:color w:val="auto"/>
              </w:rPr>
            </w:pPr>
            <w:r>
              <w:rPr>
                <w:rFonts w:ascii="Arial" w:cs="Arial" w:eastAsia="Arial" w:hAnsi="Arial"/>
                <w:sz w:val="14"/>
                <w:szCs w:val="14"/>
                <w:color w:val="auto"/>
              </w:rPr>
              <w:t>57,756</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62"/>
        </w:trPr>
        <w:tc>
          <w:tcPr>
            <w:tcW w:w="14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89"/>
        </w:trPr>
        <w:tc>
          <w:tcPr>
            <w:tcW w:w="1460" w:type="dxa"/>
            <w:vAlign w:val="bottom"/>
            <w:shd w:val="clear" w:color="auto" w:fill="DDF2F9"/>
          </w:tcPr>
          <w:p>
            <w:pPr>
              <w:jc w:val="right"/>
              <w:ind w:right="228"/>
              <w:spacing w:after="0"/>
              <w:rPr>
                <w:sz w:val="20"/>
                <w:szCs w:val="20"/>
                <w:color w:val="auto"/>
              </w:rPr>
            </w:pPr>
            <w:r>
              <w:rPr>
                <w:rFonts w:ascii="Arial" w:cs="Arial" w:eastAsia="Arial" w:hAnsi="Arial"/>
                <w:sz w:val="14"/>
                <w:szCs w:val="14"/>
                <w:color w:val="auto"/>
              </w:rPr>
              <w:t>514,690</w:t>
            </w:r>
          </w:p>
        </w:tc>
        <w:tc>
          <w:tcPr>
            <w:tcW w:w="1240" w:type="dxa"/>
            <w:vAlign w:val="bottom"/>
            <w:shd w:val="clear" w:color="auto" w:fill="DDF2F9"/>
          </w:tcPr>
          <w:p>
            <w:pPr>
              <w:jc w:val="right"/>
              <w:ind w:right="228"/>
              <w:spacing w:after="0"/>
              <w:rPr>
                <w:sz w:val="20"/>
                <w:szCs w:val="20"/>
                <w:color w:val="auto"/>
              </w:rPr>
            </w:pPr>
            <w:r>
              <w:rPr>
                <w:rFonts w:ascii="Arial" w:cs="Arial" w:eastAsia="Arial" w:hAnsi="Arial"/>
                <w:sz w:val="14"/>
                <w:szCs w:val="14"/>
                <w:color w:val="auto"/>
              </w:rPr>
              <w:t>(78,707)</w:t>
            </w:r>
          </w:p>
        </w:tc>
        <w:tc>
          <w:tcPr>
            <w:tcW w:w="1060" w:type="dxa"/>
            <w:vAlign w:val="bottom"/>
            <w:shd w:val="clear" w:color="auto" w:fill="DDF2F9"/>
          </w:tcPr>
          <w:p>
            <w:pPr>
              <w:jc w:val="right"/>
              <w:ind w:right="68"/>
              <w:spacing w:after="0"/>
              <w:rPr>
                <w:sz w:val="20"/>
                <w:szCs w:val="20"/>
                <w:color w:val="auto"/>
              </w:rPr>
            </w:pPr>
            <w:r>
              <w:rPr>
                <w:rFonts w:ascii="Arial" w:cs="Arial" w:eastAsia="Arial" w:hAnsi="Arial"/>
                <w:sz w:val="14"/>
                <w:szCs w:val="14"/>
                <w:color w:val="auto"/>
              </w:rPr>
              <w:t>(86,511)</w:t>
            </w:r>
          </w:p>
        </w:tc>
      </w:tr>
      <w:tr>
        <w:trPr>
          <w:trHeight w:val="62"/>
        </w:trPr>
        <w:tc>
          <w:tcPr>
            <w:tcW w:w="1460" w:type="dxa"/>
            <w:vAlign w:val="bottom"/>
            <w:shd w:val="clear" w:color="auto" w:fill="DDF2F9"/>
          </w:tcPr>
          <w:p>
            <w:pPr>
              <w:spacing w:after="0"/>
              <w:rPr>
                <w:sz w:val="5"/>
                <w:szCs w:val="5"/>
                <w:color w:val="auto"/>
              </w:rPr>
            </w:pPr>
          </w:p>
        </w:tc>
        <w:tc>
          <w:tcPr>
            <w:tcW w:w="1240" w:type="dxa"/>
            <w:vAlign w:val="bottom"/>
            <w:shd w:val="clear" w:color="auto" w:fill="DDF2F9"/>
          </w:tcPr>
          <w:p>
            <w:pPr>
              <w:spacing w:after="0"/>
              <w:rPr>
                <w:sz w:val="5"/>
                <w:szCs w:val="5"/>
                <w:color w:val="auto"/>
              </w:rPr>
            </w:pPr>
          </w:p>
        </w:tc>
        <w:tc>
          <w:tcPr>
            <w:tcW w:w="1060" w:type="dxa"/>
            <w:vAlign w:val="bottom"/>
            <w:shd w:val="clear" w:color="auto" w:fill="DDF2F9"/>
          </w:tcPr>
          <w:p>
            <w:pPr>
              <w:spacing w:after="0"/>
              <w:rPr>
                <w:sz w:val="5"/>
                <w:szCs w:val="5"/>
                <w:color w:val="auto"/>
              </w:rPr>
            </w:pPr>
          </w:p>
        </w:tc>
      </w:tr>
      <w:tr>
        <w:trPr>
          <w:trHeight w:val="289"/>
        </w:trPr>
        <w:tc>
          <w:tcPr>
            <w:tcW w:w="1460" w:type="dxa"/>
            <w:vAlign w:val="bottom"/>
          </w:tcPr>
          <w:p>
            <w:pPr>
              <w:jc w:val="right"/>
              <w:ind w:right="228"/>
              <w:spacing w:after="0"/>
              <w:rPr>
                <w:sz w:val="20"/>
                <w:szCs w:val="20"/>
                <w:color w:val="auto"/>
              </w:rPr>
            </w:pPr>
            <w:r>
              <w:rPr>
                <w:rFonts w:ascii="Arial" w:cs="Arial" w:eastAsia="Arial" w:hAnsi="Arial"/>
                <w:sz w:val="14"/>
                <w:szCs w:val="14"/>
                <w:color w:val="auto"/>
              </w:rPr>
              <w:t>(2,089,773)</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62"/>
        </w:trPr>
        <w:tc>
          <w:tcPr>
            <w:tcW w:w="14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89"/>
        </w:trPr>
        <w:tc>
          <w:tcPr>
            <w:tcW w:w="1460" w:type="dxa"/>
            <w:vAlign w:val="bottom"/>
            <w:shd w:val="clear" w:color="auto" w:fill="DDF2F9"/>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DF2F9"/>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DF2F9"/>
          </w:tcPr>
          <w:p>
            <w:pPr>
              <w:jc w:val="right"/>
              <w:ind w:right="68"/>
              <w:spacing w:after="0"/>
              <w:rPr>
                <w:sz w:val="20"/>
                <w:szCs w:val="20"/>
                <w:color w:val="auto"/>
              </w:rPr>
            </w:pPr>
            <w:r>
              <w:rPr>
                <w:rFonts w:ascii="Arial" w:cs="Arial" w:eastAsia="Arial" w:hAnsi="Arial"/>
                <w:sz w:val="14"/>
                <w:szCs w:val="14"/>
                <w:color w:val="auto"/>
              </w:rPr>
              <w:t>—</w:t>
            </w:r>
          </w:p>
        </w:tc>
      </w:tr>
      <w:tr>
        <w:trPr>
          <w:trHeight w:val="62"/>
        </w:trPr>
        <w:tc>
          <w:tcPr>
            <w:tcW w:w="1460" w:type="dxa"/>
            <w:vAlign w:val="bottom"/>
            <w:shd w:val="clear" w:color="auto" w:fill="DDF2F9"/>
          </w:tcPr>
          <w:p>
            <w:pPr>
              <w:spacing w:after="0"/>
              <w:rPr>
                <w:sz w:val="5"/>
                <w:szCs w:val="5"/>
                <w:color w:val="auto"/>
              </w:rPr>
            </w:pPr>
          </w:p>
        </w:tc>
        <w:tc>
          <w:tcPr>
            <w:tcW w:w="1240" w:type="dxa"/>
            <w:vAlign w:val="bottom"/>
            <w:shd w:val="clear" w:color="auto" w:fill="DDF2F9"/>
          </w:tcPr>
          <w:p>
            <w:pPr>
              <w:spacing w:after="0"/>
              <w:rPr>
                <w:sz w:val="5"/>
                <w:szCs w:val="5"/>
                <w:color w:val="auto"/>
              </w:rPr>
            </w:pPr>
          </w:p>
        </w:tc>
        <w:tc>
          <w:tcPr>
            <w:tcW w:w="1060" w:type="dxa"/>
            <w:vAlign w:val="bottom"/>
            <w:shd w:val="clear" w:color="auto" w:fill="DDF2F9"/>
          </w:tcPr>
          <w:p>
            <w:pPr>
              <w:spacing w:after="0"/>
              <w:rPr>
                <w:sz w:val="5"/>
                <w:szCs w:val="5"/>
                <w:color w:val="auto"/>
              </w:rPr>
            </w:pPr>
          </w:p>
        </w:tc>
      </w:tr>
    </w:tbl>
    <w:p>
      <w:pPr>
        <w:spacing w:after="0" w:line="19" w:lineRule="exact"/>
        <w:rPr>
          <w:sz w:val="20"/>
          <w:szCs w:val="20"/>
          <w:color w:val="auto"/>
        </w:rPr>
      </w:pPr>
    </w:p>
    <w:p>
      <w:pPr>
        <w:sectPr>
          <w:pgSz w:w="11900" w:h="16838" w:orient="portrait"/>
          <w:cols w:equalWidth="0" w:num="2">
            <w:col w:w="7360" w:space="20"/>
            <w:col w:w="3760"/>
          </w:cols>
          <w:pgMar w:left="320" w:top="482" w:right="439" w:bottom="1440" w:gutter="0" w:footer="0" w:header="0"/>
          <w:type w:val="continuous"/>
        </w:sectPr>
      </w:pPr>
    </w:p>
    <w:tbl>
      <w:tblPr>
        <w:tblLayout w:type="fixed"/>
        <w:tblInd w:w="180" w:type="dxa"/>
        <w:tblCellMar>
          <w:top w:w="0" w:type="dxa"/>
          <w:left w:w="0" w:type="dxa"/>
          <w:bottom w:w="0" w:type="dxa"/>
          <w:right w:w="0" w:type="dxa"/>
        </w:tblCellMar>
      </w:tblPr>
      <w:tr>
        <w:trPr>
          <w:trHeight w:val="196"/>
        </w:trPr>
        <w:tc>
          <w:tcPr>
            <w:tcW w:w="4840" w:type="dxa"/>
            <w:vAlign w:val="bottom"/>
          </w:tcPr>
          <w:p>
            <w:pPr>
              <w:spacing w:after="0"/>
              <w:rPr>
                <w:sz w:val="20"/>
                <w:szCs w:val="20"/>
                <w:color w:val="auto"/>
              </w:rPr>
            </w:pPr>
            <w:r>
              <w:rPr>
                <w:rFonts w:ascii="Arial" w:cs="Arial" w:eastAsia="Arial" w:hAnsi="Arial"/>
                <w:sz w:val="14"/>
                <w:szCs w:val="14"/>
                <w:b w:val="1"/>
                <w:bCs w:val="1"/>
                <w:color w:val="auto"/>
              </w:rPr>
              <w:t>Compensation Actually Paid</w:t>
            </w:r>
          </w:p>
        </w:tc>
        <w:tc>
          <w:tcPr>
            <w:tcW w:w="3820" w:type="dxa"/>
            <w:vAlign w:val="bottom"/>
          </w:tcPr>
          <w:p>
            <w:pPr>
              <w:jc w:val="right"/>
              <w:ind w:right="228"/>
              <w:spacing w:after="0"/>
              <w:rPr>
                <w:sz w:val="20"/>
                <w:szCs w:val="20"/>
                <w:color w:val="auto"/>
              </w:rPr>
            </w:pPr>
            <w:r>
              <w:rPr>
                <w:rFonts w:ascii="Arial" w:cs="Arial" w:eastAsia="Arial" w:hAnsi="Arial"/>
                <w:sz w:val="14"/>
                <w:szCs w:val="14"/>
                <w:b w:val="1"/>
                <w:bCs w:val="1"/>
                <w:color w:val="auto"/>
              </w:rPr>
              <w:t>5,326,614</w:t>
            </w: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5,326,529</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2,529,882</w:t>
            </w:r>
          </w:p>
        </w:tc>
      </w:tr>
    </w:tbl>
    <w:p>
      <w:pPr>
        <w:spacing w:after="0" w:line="329" w:lineRule="exact"/>
        <w:rPr>
          <w:sz w:val="20"/>
          <w:szCs w:val="20"/>
          <w:color w:val="auto"/>
        </w:rPr>
      </w:pPr>
    </w:p>
    <w:p>
      <w:pPr>
        <w:ind w:left="1660" w:right="100" w:hanging="775"/>
        <w:spacing w:after="0" w:line="285" w:lineRule="auto"/>
        <w:tabs>
          <w:tab w:leader="none" w:pos="1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Total shareholder return is calculated by assuming that a $100 investment was made on the day prior to the first fiscal year reported and reinvesting all dividends until the last day of each reported fiscal year.</w:t>
      </w:r>
    </w:p>
    <w:p>
      <w:pPr>
        <w:spacing w:after="0" w:line="63" w:lineRule="exact"/>
        <w:rPr>
          <w:rFonts w:ascii="Arial" w:cs="Arial" w:eastAsia="Arial" w:hAnsi="Arial"/>
          <w:sz w:val="14"/>
          <w:szCs w:val="14"/>
          <w:color w:val="auto"/>
        </w:rPr>
      </w:pPr>
    </w:p>
    <w:p>
      <w:pPr>
        <w:jc w:val="both"/>
        <w:ind w:left="1660" w:right="20" w:hanging="775"/>
        <w:spacing w:after="0" w:line="263" w:lineRule="auto"/>
        <w:tabs>
          <w:tab w:leader="none" w:pos="1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peer group used is the NASDAQ Computer Index, as used in the Company’s performance graph in our annual report. Total shareholder return is calculated by assuming that a $100 investment was made on the day prior to the first fiscal year reported below and reinvesting all dividends until the last day of each reported fiscal year.</w:t>
      </w:r>
    </w:p>
    <w:p>
      <w:pPr>
        <w:spacing w:after="0" w:line="78" w:lineRule="exact"/>
        <w:rPr>
          <w:rFonts w:ascii="Arial" w:cs="Arial" w:eastAsia="Arial" w:hAnsi="Arial"/>
          <w:sz w:val="14"/>
          <w:szCs w:val="14"/>
          <w:color w:val="auto"/>
        </w:rPr>
      </w:pPr>
    </w:p>
    <w:p>
      <w:pPr>
        <w:ind w:left="1660" w:hanging="775"/>
        <w:spacing w:after="0"/>
        <w:tabs>
          <w:tab w:leader="none" w:pos="1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dollar amounts reported are the Company’s net income reflected in the Company’s audited financial statements for the reported fiscal year.</w:t>
      </w:r>
    </w:p>
    <w:p>
      <w:pPr>
        <w:spacing w:after="0" w:line="122" w:lineRule="exact"/>
        <w:rPr>
          <w:rFonts w:ascii="Arial" w:cs="Arial" w:eastAsia="Arial" w:hAnsi="Arial"/>
          <w:sz w:val="14"/>
          <w:szCs w:val="14"/>
          <w:color w:val="auto"/>
        </w:rPr>
      </w:pPr>
    </w:p>
    <w:p>
      <w:pPr>
        <w:ind w:left="1660" w:right="40" w:hanging="775"/>
        <w:spacing w:after="0" w:line="285" w:lineRule="auto"/>
        <w:tabs>
          <w:tab w:leader="none" w:pos="1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the Company’s assessment, revenues is the financial performance measure that is the most important financial performance measure used by the Company in 2022 to link compensation actually paid to performance.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82" w:right="4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Required Tabular Disclosure of Most Important Performance Measures to Determine 2022 CAP</w:t>
      </w:r>
    </w:p>
    <w:p>
      <w:pPr>
        <w:spacing w:after="0" w:line="210"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The list below includes the four financial performance measures that, in our assessment and in no particular order, represent the most important measures used to link compensation actually paid to our NEOs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126365</wp:posOffset>
            </wp:positionV>
            <wp:extent cx="4200525" cy="1036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00525" cy="1036955"/>
                    </a:xfrm>
                    <a:prstGeom prst="rect">
                      <a:avLst/>
                    </a:prstGeom>
                    <a:noFill/>
                  </pic:spPr>
                </pic:pic>
              </a:graphicData>
            </a:graphic>
          </wp:anchor>
        </w:drawing>
      </w: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FFFFFF"/>
        </w:rPr>
        <w:t>Most Important Performance Measures</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Bookings</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Revenues</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Adjusted EBITDA Margin</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Non-GAAP Earnings per Diluted Share</w:t>
      </w: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Description of Relationships Between Compensation Actually Paid and Performance</w:t>
      </w:r>
    </w:p>
    <w:p>
      <w:pPr>
        <w:spacing w:after="0" w:line="210"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As described in more detail in the section titled “Executive Compensation - Compensation Discussion and Analysis,” our executive compensation program reflects a pay-for-performance philosophy. While we utilize several performance measures to align executive compensation with company performance, not all of those measures are presented in the Pay Versus Performance table. In accordance with the SEC’s rules and regulations, we are providing the following descriptions of the relationships between compensation actually paid and the information presented in the Pay Versus Performance table above.</w:t>
      </w:r>
    </w:p>
    <w:p>
      <w:pPr>
        <w:spacing w:after="0" w:line="176"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Compensation Actually Paid and TSR</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following chart reflects the amount of compensation actually paid to Mr. Thakar (for 2022 and 2021), Mr. Courtot (for 2021 and 2020), and the average amount of compensation actually paid to our NEOs as a group (excluding the PEOs in each given year) in relation to our company’s and our peer group’s TSR over the three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136525</wp:posOffset>
            </wp:positionV>
            <wp:extent cx="5212080" cy="23660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40"/>
          </w:cols>
          <w:pgMar w:left="320" w:top="482" w:right="5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Compensation Actually Paid and Net Income</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following chart reflects the amount of compensation actually paid to Mr. Thakar (for 2022 and 2021), Mr. Courtot (for 2021 and 2020), and the average amount of compensation actually paid to our NEOs as a group (excluding the PEOs in each given year) in relation to the Company’s net income over the three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136525</wp:posOffset>
            </wp:positionV>
            <wp:extent cx="5212080" cy="23660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40"/>
          </w:cols>
          <w:pgMar w:left="320" w:top="482" w:right="5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Compensation Actually Paid and Revenues</w:t>
      </w:r>
    </w:p>
    <w:p>
      <w:pPr>
        <w:spacing w:after="0" w:line="21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following chart reflects the amount of compensation actually paid to Mr. Thakar (for 2022 and 2021), Mr. Courtot (for 2021 and 2020), and the average amount of compensation actually paid to our NEOs as a group (excluding the PEOs in each given year) in relation to the Company’s revenues over the three years presented in the table. While we utilize a number of performance measures to evaluate company performance, we have determined that revenues is the most important performance measure (not otherwise required to be disclosed in the table) to link compensation actually paid to the our NEOs to company performance. We utilize revenue growth when setting goals for our corporate bonus plan and PRSUs granted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219710</wp:posOffset>
            </wp:positionV>
            <wp:extent cx="5212080" cy="23660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208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40"/>
          </w:cols>
          <w:pgMar w:left="320" w:top="482" w:right="539" w:bottom="1440" w:gutter="0" w:footer="0" w:header="0"/>
        </w:sectPr>
      </w:pPr>
    </w:p>
    <w:bookmarkStart w:id="68" w:name="page69"/>
    <w:bookmarkEnd w:id="68"/>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SECURITY OWNERSHIP OF CERTAIN BENEFICIAL OWNERS AND MANAGEMENT</w:t>
      </w:r>
    </w:p>
    <w:p>
      <w:pPr>
        <w:spacing w:after="0" w:line="21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April 10, 2023 for:</w:t>
      </w:r>
    </w:p>
    <w:p>
      <w:pPr>
        <w:spacing w:after="0" w:line="117" w:lineRule="exact"/>
        <w:rPr>
          <w:sz w:val="20"/>
          <w:szCs w:val="20"/>
          <w:color w:val="auto"/>
        </w:rPr>
      </w:pPr>
    </w:p>
    <w:p>
      <w:pPr>
        <w:ind w:left="964" w:hanging="424"/>
        <w:spacing w:after="0"/>
        <w:tabs>
          <w:tab w:leader="none" w:pos="9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person or group, who beneficially owned more than 5% of our common stock.</w:t>
      </w:r>
    </w:p>
    <w:p>
      <w:pPr>
        <w:spacing w:after="0" w:line="212" w:lineRule="exact"/>
        <w:rPr>
          <w:sz w:val="20"/>
          <w:szCs w:val="20"/>
          <w:color w:val="auto"/>
        </w:rPr>
      </w:pPr>
    </w:p>
    <w:p>
      <w:pPr>
        <w:ind w:left="4" w:right="140" w:firstLine="440"/>
        <w:spacing w:after="0" w:line="24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7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Applicable percentage ownership is based on 36,946,261 shares of common stock outstanding at April 10, 2023.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10, 2023. However, we did not deem such shares outstanding for the purpose of computing the percentage ownership of any other person.</w:t>
      </w:r>
    </w:p>
    <w:p>
      <w:pPr>
        <w:spacing w:after="0" w:line="176" w:lineRule="exact"/>
        <w:rPr>
          <w:sz w:val="20"/>
          <w:szCs w:val="20"/>
          <w:color w:val="auto"/>
        </w:rPr>
      </w:pPr>
    </w:p>
    <w:p>
      <w:pPr>
        <w:ind w:left="4" w:right="440" w:firstLine="440"/>
        <w:spacing w:after="0" w:line="289" w:lineRule="auto"/>
        <w:rPr>
          <w:sz w:val="20"/>
          <w:szCs w:val="20"/>
          <w:color w:val="auto"/>
        </w:rPr>
      </w:pPr>
      <w:r>
        <w:rPr>
          <w:rFonts w:ascii="Arial" w:cs="Arial" w:eastAsia="Arial" w:hAnsi="Arial"/>
          <w:sz w:val="18"/>
          <w:szCs w:val="18"/>
          <w:color w:val="auto"/>
        </w:rPr>
        <w:t>Unless otherwise indicated, the address of each beneficial owner listed in the table below is c/o Qualys, Inc., 919 East Hillsdale Boulevard,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Foster City, California 94404.</w:t>
      </w:r>
    </w:p>
    <w:p>
      <w:pPr>
        <w:spacing w:after="0" w:line="48"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4160" w:type="dxa"/>
            <w:vAlign w:val="bottom"/>
            <w:vMerge w:val="restart"/>
          </w:tcPr>
          <w:p>
            <w:pPr>
              <w:spacing w:after="0"/>
              <w:rPr>
                <w:sz w:val="14"/>
                <w:szCs w:val="14"/>
                <w:color w:val="auto"/>
              </w:rPr>
            </w:pPr>
          </w:p>
        </w:tc>
        <w:tc>
          <w:tcPr>
            <w:tcW w:w="1660" w:type="dxa"/>
            <w:vAlign w:val="bottom"/>
            <w:gridSpan w:val="2"/>
          </w:tcPr>
          <w:p>
            <w:pPr>
              <w:jc w:val="center"/>
              <w:ind w:left="740"/>
              <w:spacing w:after="0"/>
              <w:rPr>
                <w:sz w:val="20"/>
                <w:szCs w:val="20"/>
                <w:color w:val="auto"/>
              </w:rPr>
            </w:pPr>
            <w:r>
              <w:rPr>
                <w:rFonts w:ascii="Arial" w:cs="Arial" w:eastAsia="Arial" w:hAnsi="Arial"/>
                <w:sz w:val="14"/>
                <w:szCs w:val="14"/>
                <w:b w:val="1"/>
                <w:bCs w:val="1"/>
                <w:color w:val="auto"/>
              </w:rPr>
              <w:t>Beneficially</w:t>
            </w:r>
          </w:p>
        </w:tc>
        <w:tc>
          <w:tcPr>
            <w:tcW w:w="1660" w:type="dxa"/>
            <w:vAlign w:val="bottom"/>
            <w:gridSpan w:val="3"/>
          </w:tcPr>
          <w:p>
            <w:pPr>
              <w:jc w:val="center"/>
              <w:ind w:left="340"/>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Owned</w:t>
            </w:r>
          </w:p>
        </w:tc>
        <w:tc>
          <w:tcPr>
            <w:tcW w:w="640" w:type="dxa"/>
            <w:vAlign w:val="bottom"/>
          </w:tcPr>
          <w:p>
            <w:pPr>
              <w:spacing w:after="0"/>
              <w:rPr>
                <w:sz w:val="15"/>
                <w:szCs w:val="15"/>
                <w:color w:val="auto"/>
              </w:rPr>
            </w:pPr>
          </w:p>
        </w:tc>
        <w:tc>
          <w:tcPr>
            <w:tcW w:w="10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63"/>
        </w:trPr>
        <w:tc>
          <w:tcPr>
            <w:tcW w:w="5940" w:type="dxa"/>
            <w:vAlign w:val="bottom"/>
            <w:tcBorders>
              <w:top w:val="single" w:sz="8" w:color="CCEEFF"/>
            </w:tcBorders>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Named Executive Officers:</w:t>
            </w:r>
          </w:p>
        </w:tc>
        <w:tc>
          <w:tcPr>
            <w:tcW w:w="8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40" w:type="dxa"/>
            <w:vAlign w:val="bottom"/>
            <w:gridSpan w:val="2"/>
          </w:tcPr>
          <w:p>
            <w:pPr>
              <w:ind w:left="160"/>
              <w:spacing w:after="0" w:line="189" w:lineRule="exact"/>
              <w:rPr>
                <w:sz w:val="20"/>
                <w:szCs w:val="20"/>
                <w:color w:val="auto"/>
              </w:rPr>
            </w:pPr>
            <w:r>
              <w:rPr>
                <w:rFonts w:ascii="Arial" w:cs="Arial" w:eastAsia="Arial" w:hAnsi="Arial"/>
                <w:sz w:val="14"/>
                <w:szCs w:val="14"/>
                <w:color w:val="auto"/>
              </w:rPr>
              <w:t xml:space="preserve">Sumedh S. Thakar </w:t>
            </w:r>
            <w:r>
              <w:rPr>
                <w:rFonts w:ascii="Arial" w:cs="Arial" w:eastAsia="Arial" w:hAnsi="Arial"/>
                <w:sz w:val="21"/>
                <w:szCs w:val="21"/>
                <w:color w:val="auto"/>
                <w:vertAlign w:val="superscript"/>
              </w:rPr>
              <w:t>(1)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297,220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4"/>
                <w:szCs w:val="14"/>
                <w:color w:val="auto"/>
              </w:rPr>
              <w:t xml:space="preserve">Joo Mi Kim </w:t>
            </w:r>
            <w:r>
              <w:rPr>
                <w:rFonts w:ascii="Arial" w:cs="Arial" w:eastAsia="Arial" w:hAnsi="Arial"/>
                <w:sz w:val="21"/>
                <w:szCs w:val="21"/>
                <w:color w:val="auto"/>
                <w:vertAlign w:val="superscript"/>
              </w:rPr>
              <w:t>(2)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33,581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gridSpan w:val="2"/>
          </w:tcPr>
          <w:p>
            <w:pPr>
              <w:ind w:left="160"/>
              <w:spacing w:after="0" w:line="189" w:lineRule="exact"/>
              <w:rPr>
                <w:sz w:val="20"/>
                <w:szCs w:val="20"/>
                <w:color w:val="auto"/>
              </w:rPr>
            </w:pPr>
            <w:r>
              <w:rPr>
                <w:rFonts w:ascii="Arial" w:cs="Arial" w:eastAsia="Arial" w:hAnsi="Arial"/>
                <w:sz w:val="14"/>
                <w:szCs w:val="14"/>
                <w:color w:val="auto"/>
              </w:rPr>
              <w:t xml:space="preserve">Allan Peters </w:t>
            </w:r>
            <w:r>
              <w:rPr>
                <w:rFonts w:ascii="Arial" w:cs="Arial" w:eastAsia="Arial" w:hAnsi="Arial"/>
                <w:sz w:val="21"/>
                <w:szCs w:val="21"/>
                <w:color w:val="auto"/>
                <w:vertAlign w:val="superscript"/>
              </w:rPr>
              <w:t>(3)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44,854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4"/>
                <w:szCs w:val="14"/>
                <w:color w:val="auto"/>
              </w:rPr>
              <w:t xml:space="preserve">Bruce K. Posey </w:t>
            </w:r>
            <w:r>
              <w:rPr>
                <w:rFonts w:ascii="Arial" w:cs="Arial" w:eastAsia="Arial" w:hAnsi="Arial"/>
                <w:sz w:val="21"/>
                <w:szCs w:val="21"/>
                <w:color w:val="auto"/>
                <w:vertAlign w:val="superscript"/>
              </w:rPr>
              <w:t>(4)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44,742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gridSpan w:val="2"/>
          </w:tcPr>
          <w:p>
            <w:pPr>
              <w:spacing w:after="0"/>
              <w:rPr>
                <w:sz w:val="20"/>
                <w:szCs w:val="20"/>
                <w:color w:val="auto"/>
              </w:rPr>
            </w:pPr>
            <w:r>
              <w:rPr>
                <w:rFonts w:ascii="Arial" w:cs="Arial" w:eastAsia="Arial" w:hAnsi="Arial"/>
                <w:sz w:val="16"/>
                <w:szCs w:val="16"/>
                <w:b w:val="1"/>
                <w:bCs w:val="1"/>
                <w:color w:val="auto"/>
              </w:rPr>
              <w:t>Non-Employee Directors:</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4"/>
                <w:szCs w:val="14"/>
                <w:color w:val="auto"/>
              </w:rPr>
              <w:t xml:space="preserve">William Berutti </w:t>
            </w:r>
            <w:r>
              <w:rPr>
                <w:rFonts w:ascii="Arial" w:cs="Arial" w:eastAsia="Arial" w:hAnsi="Arial"/>
                <w:sz w:val="21"/>
                <w:szCs w:val="21"/>
                <w:color w:val="auto"/>
                <w:vertAlign w:val="superscript"/>
              </w:rPr>
              <w:t>(5)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gridSpan w:val="2"/>
          </w:tcPr>
          <w:p>
            <w:pPr>
              <w:ind w:left="160"/>
              <w:spacing w:after="0" w:line="189" w:lineRule="exact"/>
              <w:rPr>
                <w:sz w:val="20"/>
                <w:szCs w:val="20"/>
                <w:color w:val="auto"/>
              </w:rPr>
            </w:pPr>
            <w:r>
              <w:rPr>
                <w:rFonts w:ascii="Arial" w:cs="Arial" w:eastAsia="Arial" w:hAnsi="Arial"/>
                <w:sz w:val="14"/>
                <w:szCs w:val="14"/>
                <w:color w:val="auto"/>
              </w:rPr>
              <w:t xml:space="preserve">Jeffrey P. Hank </w:t>
            </w:r>
            <w:r>
              <w:rPr>
                <w:rFonts w:ascii="Arial" w:cs="Arial" w:eastAsia="Arial" w:hAnsi="Arial"/>
                <w:sz w:val="21"/>
                <w:szCs w:val="21"/>
                <w:color w:val="auto"/>
                <w:vertAlign w:val="superscript"/>
              </w:rPr>
              <w:t>(6)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24,059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4"/>
                <w:szCs w:val="14"/>
                <w:color w:val="auto"/>
              </w:rPr>
              <w:t xml:space="preserve">General Peter Pace </w:t>
            </w:r>
            <w:r>
              <w:rPr>
                <w:rFonts w:ascii="Arial" w:cs="Arial" w:eastAsia="Arial" w:hAnsi="Arial"/>
                <w:sz w:val="21"/>
                <w:szCs w:val="21"/>
                <w:color w:val="auto"/>
                <w:vertAlign w:val="superscript"/>
              </w:rPr>
              <w:t>(7)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15,418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gridSpan w:val="2"/>
          </w:tcPr>
          <w:p>
            <w:pPr>
              <w:ind w:left="160"/>
              <w:spacing w:after="0" w:line="189" w:lineRule="exact"/>
              <w:rPr>
                <w:sz w:val="20"/>
                <w:szCs w:val="20"/>
                <w:color w:val="auto"/>
              </w:rPr>
            </w:pPr>
            <w:r>
              <w:rPr>
                <w:rFonts w:ascii="Arial" w:cs="Arial" w:eastAsia="Arial" w:hAnsi="Arial"/>
                <w:sz w:val="14"/>
                <w:szCs w:val="14"/>
                <w:color w:val="auto"/>
              </w:rPr>
              <w:t xml:space="preserve">Wendy M. Pfeiffer </w:t>
            </w:r>
            <w:r>
              <w:rPr>
                <w:rFonts w:ascii="Arial" w:cs="Arial" w:eastAsia="Arial" w:hAnsi="Arial"/>
                <w:sz w:val="21"/>
                <w:szCs w:val="21"/>
                <w:color w:val="auto"/>
                <w:vertAlign w:val="superscript"/>
              </w:rPr>
              <w:t>(8)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10,220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4"/>
                <w:szCs w:val="14"/>
                <w:color w:val="auto"/>
              </w:rPr>
              <w:t xml:space="preserve">Kristi M. Rogers </w:t>
            </w:r>
            <w:r>
              <w:rPr>
                <w:rFonts w:ascii="Arial" w:cs="Arial" w:eastAsia="Arial" w:hAnsi="Arial"/>
                <w:sz w:val="21"/>
                <w:szCs w:val="21"/>
                <w:color w:val="auto"/>
                <w:vertAlign w:val="superscript"/>
              </w:rPr>
              <w:t>(9)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5,404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gridSpan w:val="2"/>
          </w:tcPr>
          <w:p>
            <w:pPr>
              <w:ind w:left="160"/>
              <w:spacing w:after="0" w:line="189" w:lineRule="exact"/>
              <w:rPr>
                <w:sz w:val="20"/>
                <w:szCs w:val="20"/>
                <w:color w:val="auto"/>
              </w:rPr>
            </w:pPr>
            <w:r>
              <w:rPr>
                <w:rFonts w:ascii="Arial" w:cs="Arial" w:eastAsia="Arial" w:hAnsi="Arial"/>
                <w:sz w:val="14"/>
                <w:szCs w:val="14"/>
                <w:color w:val="auto"/>
              </w:rPr>
              <w:t xml:space="preserve">John Zangardi </w:t>
            </w:r>
            <w:r>
              <w:rPr>
                <w:rFonts w:ascii="Arial" w:cs="Arial" w:eastAsia="Arial" w:hAnsi="Arial"/>
                <w:sz w:val="21"/>
                <w:szCs w:val="21"/>
                <w:color w:val="auto"/>
                <w:vertAlign w:val="superscript"/>
              </w:rPr>
              <w:t>(10)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6,139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4"/>
                <w:szCs w:val="14"/>
                <w:color w:val="auto"/>
              </w:rPr>
              <w:t xml:space="preserve">All current directors and executive officers as a group (9 persons) </w:t>
            </w:r>
            <w:r>
              <w:rPr>
                <w:rFonts w:ascii="Arial" w:cs="Arial" w:eastAsia="Arial" w:hAnsi="Arial"/>
                <w:sz w:val="21"/>
                <w:szCs w:val="21"/>
                <w:color w:val="auto"/>
                <w:vertAlign w:val="superscript"/>
              </w:rPr>
              <w:t>(11)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439,441</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5940" w:type="dxa"/>
            <w:vAlign w:val="bottom"/>
            <w:gridSpan w:val="2"/>
          </w:tcPr>
          <w:p>
            <w:pPr>
              <w:spacing w:after="0"/>
              <w:rPr>
                <w:sz w:val="20"/>
                <w:szCs w:val="20"/>
                <w:color w:val="auto"/>
              </w:rPr>
            </w:pPr>
            <w:r>
              <w:rPr>
                <w:rFonts w:ascii="Arial" w:cs="Arial" w:eastAsia="Arial" w:hAnsi="Arial"/>
                <w:sz w:val="16"/>
                <w:szCs w:val="16"/>
                <w:b w:val="1"/>
                <w:bCs w:val="1"/>
                <w:color w:val="auto"/>
              </w:rPr>
              <w:t>5% Stockholders:</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4"/>
                <w:szCs w:val="14"/>
                <w:color w:val="auto"/>
              </w:rPr>
              <w:t xml:space="preserve">BlackRock, Inc. </w:t>
            </w:r>
            <w:r>
              <w:rPr>
                <w:rFonts w:ascii="Arial" w:cs="Arial" w:eastAsia="Arial" w:hAnsi="Arial"/>
                <w:sz w:val="21"/>
                <w:szCs w:val="21"/>
                <w:color w:val="auto"/>
                <w:vertAlign w:val="superscript"/>
              </w:rPr>
              <w:t>(12)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4,613,510</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9"/>
        </w:trPr>
        <w:tc>
          <w:tcPr>
            <w:tcW w:w="5940" w:type="dxa"/>
            <w:vAlign w:val="bottom"/>
            <w:gridSpan w:val="2"/>
          </w:tcPr>
          <w:p>
            <w:pPr>
              <w:ind w:left="160"/>
              <w:spacing w:after="0" w:line="189" w:lineRule="exact"/>
              <w:rPr>
                <w:sz w:val="20"/>
                <w:szCs w:val="20"/>
                <w:color w:val="auto"/>
              </w:rPr>
            </w:pPr>
            <w:r>
              <w:rPr>
                <w:rFonts w:ascii="Arial" w:cs="Arial" w:eastAsia="Arial" w:hAnsi="Arial"/>
                <w:sz w:val="14"/>
                <w:szCs w:val="14"/>
                <w:color w:val="auto"/>
              </w:rPr>
              <w:t xml:space="preserve">The Vanguard Group </w:t>
            </w:r>
            <w:r>
              <w:rPr>
                <w:rFonts w:ascii="Arial" w:cs="Arial" w:eastAsia="Arial" w:hAnsi="Arial"/>
                <w:sz w:val="21"/>
                <w:szCs w:val="21"/>
                <w:color w:val="auto"/>
                <w:vertAlign w:val="superscript"/>
              </w:rPr>
              <w:t>(13)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3,486,717</w:t>
            </w:r>
          </w:p>
        </w:tc>
        <w:tc>
          <w:tcPr>
            <w:tcW w:w="1660" w:type="dxa"/>
            <w:vAlign w:val="bottom"/>
            <w:gridSpan w:val="3"/>
          </w:tcPr>
          <w:p>
            <w:pPr>
              <w:jc w:val="right"/>
              <w:ind w:right="8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9"/>
        </w:trPr>
        <w:tc>
          <w:tcPr>
            <w:tcW w:w="59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4"/>
                <w:szCs w:val="14"/>
                <w:color w:val="auto"/>
              </w:rPr>
              <w:t xml:space="preserve">Neuberger Berman Group LLC </w:t>
            </w:r>
            <w:r>
              <w:rPr>
                <w:rFonts w:ascii="Arial" w:cs="Arial" w:eastAsia="Arial" w:hAnsi="Arial"/>
                <w:sz w:val="21"/>
                <w:szCs w:val="21"/>
                <w:color w:val="auto"/>
                <w:vertAlign w:val="superscript"/>
              </w:rPr>
              <w:t>(14)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2,047,284</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Represents beneficial ownership of less than 1%.</w:t>
      </w:r>
    </w:p>
    <w:p>
      <w:pPr>
        <w:spacing w:after="0" w:line="127" w:lineRule="exact"/>
        <w:rPr>
          <w:sz w:val="20"/>
          <w:szCs w:val="20"/>
          <w:color w:val="auto"/>
        </w:rPr>
      </w:pPr>
    </w:p>
    <w:p>
      <w:pPr>
        <w:ind w:left="424" w:right="320" w:hanging="424"/>
        <w:spacing w:after="0" w:line="286" w:lineRule="auto"/>
        <w:tabs>
          <w:tab w:leader="none" w:pos="424"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(i) 51,896 shares of common stock held by Mr. Thakar, (ii) 16,113 shares of common stock issuable upon vesting of RSUs within 60 days of April 10, 2023, and (iii) 229,211 shares of common stock subject to stock options exercisable within 60 days of April 10, 2023.</w:t>
      </w:r>
    </w:p>
    <w:p>
      <w:pPr>
        <w:spacing w:after="0" w:line="61" w:lineRule="exact"/>
        <w:rPr>
          <w:rFonts w:ascii="Arial" w:cs="Arial" w:eastAsia="Arial" w:hAnsi="Arial"/>
          <w:sz w:val="16"/>
          <w:szCs w:val="16"/>
          <w:color w:val="auto"/>
        </w:rPr>
      </w:pPr>
    </w:p>
    <w:p>
      <w:pPr>
        <w:ind w:left="424" w:right="300" w:hanging="424"/>
        <w:spacing w:after="0" w:line="286" w:lineRule="auto"/>
        <w:tabs>
          <w:tab w:leader="none" w:pos="424"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(i) 29,162 shares of common stock held by Ms. Kim and (ii) 4,419 shares of common stock issuable upon vesting of RSUs within 60 days of April 10, 2023.</w:t>
      </w:r>
    </w:p>
    <w:p>
      <w:pPr>
        <w:spacing w:after="0" w:line="8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4"/>
          </w:cols>
          <w:pgMar w:left="436" w:top="296" w:right="479" w:bottom="1440" w:gutter="0" w:footer="0" w:header="0"/>
        </w:sectPr>
      </w:pPr>
    </w:p>
    <w:bookmarkStart w:id="69" w:name="page70"/>
    <w:bookmarkEnd w:id="69"/>
    <w:p>
      <w:pPr>
        <w:ind w:left="424" w:hanging="424"/>
        <w:spacing w:after="0"/>
        <w:tabs>
          <w:tab w:leader="none" w:pos="424"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Consists of 44,854 shares of common stock held by Mr. Peters as of March 31, 2023, when his employment ended with the Company.</w:t>
      </w:r>
    </w:p>
    <w:p>
      <w:pPr>
        <w:spacing w:after="0" w:line="126" w:lineRule="exact"/>
        <w:rPr>
          <w:rFonts w:ascii="Arial" w:cs="Arial" w:eastAsia="Arial" w:hAnsi="Arial"/>
          <w:sz w:val="16"/>
          <w:szCs w:val="16"/>
          <w:color w:val="auto"/>
        </w:rPr>
      </w:pPr>
    </w:p>
    <w:p>
      <w:pPr>
        <w:ind w:left="424" w:right="80" w:hanging="424"/>
        <w:spacing w:after="0" w:line="286" w:lineRule="auto"/>
        <w:tabs>
          <w:tab w:leader="none" w:pos="4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(i) 11,956 shares of common stock held by Mr. Posey, (ii) 6,486 shares of common stock issuable upon vesting of RSUs within 60 days of April 10, 2023, and (iii) 26,300 shares of common stock subject to stock options exercisable within 60 days of April 10, 2023.</w:t>
      </w:r>
    </w:p>
    <w:p>
      <w:pPr>
        <w:spacing w:after="0" w:line="61" w:lineRule="exact"/>
        <w:rPr>
          <w:rFonts w:ascii="Arial" w:cs="Arial" w:eastAsia="Arial" w:hAnsi="Arial"/>
          <w:sz w:val="16"/>
          <w:szCs w:val="16"/>
          <w:color w:val="auto"/>
        </w:rPr>
      </w:pPr>
    </w:p>
    <w:p>
      <w:pPr>
        <w:ind w:left="424" w:right="200" w:hanging="424"/>
        <w:spacing w:after="0" w:line="286" w:lineRule="auto"/>
        <w:tabs>
          <w:tab w:leader="none" w:pos="4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(i) 1,102 shares of common stock held by Mr. Berutti, and (ii) 1,556 shares of common stock issuable upon vesting of RSUs within 60 days of April 10, 2023.</w:t>
      </w:r>
    </w:p>
    <w:p>
      <w:pPr>
        <w:spacing w:after="0" w:line="61" w:lineRule="exact"/>
        <w:rPr>
          <w:rFonts w:ascii="Arial" w:cs="Arial" w:eastAsia="Arial" w:hAnsi="Arial"/>
          <w:sz w:val="16"/>
          <w:szCs w:val="16"/>
          <w:color w:val="auto"/>
        </w:rPr>
      </w:pPr>
    </w:p>
    <w:p>
      <w:pPr>
        <w:ind w:left="424" w:right="140" w:hanging="424"/>
        <w:spacing w:after="0" w:line="286" w:lineRule="auto"/>
        <w:tabs>
          <w:tab w:leader="none" w:pos="4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(i) 10,503 shares of common stock held by Mr. Hank, (ii) 1,556 shares of common stock issuable upon vesting of RSUs within 60 days of April 10, 2023, and (iii) 12,000 shares of common stock subject to stock options exercisable within 60 days of April 10, 2023.</w:t>
      </w:r>
    </w:p>
    <w:p>
      <w:pPr>
        <w:spacing w:after="0" w:line="61" w:lineRule="exact"/>
        <w:rPr>
          <w:rFonts w:ascii="Arial" w:cs="Arial" w:eastAsia="Arial" w:hAnsi="Arial"/>
          <w:sz w:val="16"/>
          <w:szCs w:val="16"/>
          <w:color w:val="auto"/>
        </w:rPr>
      </w:pPr>
    </w:p>
    <w:p>
      <w:pPr>
        <w:ind w:left="424" w:right="140" w:hanging="424"/>
        <w:spacing w:after="0" w:line="286" w:lineRule="auto"/>
        <w:tabs>
          <w:tab w:leader="none" w:pos="4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(i) 13,862 shares of common stock held by Gen. Pace and (ii) 1,556 shares of common stock issuable upon vesting of RSUs within 60 days of April 10, 2023.</w:t>
      </w:r>
    </w:p>
    <w:p>
      <w:pPr>
        <w:spacing w:after="0" w:line="61" w:lineRule="exact"/>
        <w:rPr>
          <w:rFonts w:ascii="Arial" w:cs="Arial" w:eastAsia="Arial" w:hAnsi="Arial"/>
          <w:sz w:val="16"/>
          <w:szCs w:val="16"/>
          <w:color w:val="auto"/>
        </w:rPr>
      </w:pPr>
    </w:p>
    <w:p>
      <w:pPr>
        <w:ind w:left="424" w:right="180" w:hanging="424"/>
        <w:spacing w:after="0" w:line="286" w:lineRule="auto"/>
        <w:tabs>
          <w:tab w:leader="none" w:pos="4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(i) 8,664 shares of common stock held by Ms. Pfeiffer and (ii) 1,556 shares of common stock issuable upon vesting of RSUs within 60 days of April 10, 2023.</w:t>
      </w:r>
    </w:p>
    <w:p>
      <w:pPr>
        <w:spacing w:after="0" w:line="61" w:lineRule="exact"/>
        <w:rPr>
          <w:rFonts w:ascii="Arial" w:cs="Arial" w:eastAsia="Arial" w:hAnsi="Arial"/>
          <w:sz w:val="16"/>
          <w:szCs w:val="16"/>
          <w:color w:val="auto"/>
        </w:rPr>
      </w:pPr>
    </w:p>
    <w:p>
      <w:pPr>
        <w:ind w:left="424" w:right="120" w:hanging="424"/>
        <w:spacing w:after="0" w:line="286" w:lineRule="auto"/>
        <w:tabs>
          <w:tab w:leader="none" w:pos="4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(i) 3,848 shares of common stock held by Ms. Rogers, and (ii) 1,556 shares of common stock issuable upon vesting of RSUs within 60 days of April 10, 2023.</w:t>
      </w:r>
    </w:p>
    <w:p>
      <w:pPr>
        <w:spacing w:after="0" w:line="61" w:lineRule="exact"/>
        <w:rPr>
          <w:rFonts w:ascii="Arial" w:cs="Arial" w:eastAsia="Arial" w:hAnsi="Arial"/>
          <w:sz w:val="16"/>
          <w:szCs w:val="16"/>
          <w:color w:val="auto"/>
        </w:rPr>
      </w:pPr>
    </w:p>
    <w:p>
      <w:pPr>
        <w:ind w:left="424" w:right="100" w:hanging="424"/>
        <w:spacing w:after="0" w:line="286" w:lineRule="auto"/>
        <w:tabs>
          <w:tab w:leader="none" w:pos="4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(i) 4,583 shares of common stock held by Dr. Zangardi and (ii) 1,556 shares of common stock issuable upon vesting of RSUs within 60 days of April 10, 2023.</w:t>
      </w:r>
    </w:p>
    <w:p>
      <w:pPr>
        <w:spacing w:after="0" w:line="61" w:lineRule="exact"/>
        <w:rPr>
          <w:rFonts w:ascii="Arial" w:cs="Arial" w:eastAsia="Arial" w:hAnsi="Arial"/>
          <w:sz w:val="16"/>
          <w:szCs w:val="16"/>
          <w:color w:val="auto"/>
        </w:rPr>
      </w:pPr>
    </w:p>
    <w:p>
      <w:pPr>
        <w:ind w:left="424" w:right="300" w:hanging="424"/>
        <w:spacing w:after="0" w:line="286" w:lineRule="auto"/>
        <w:tabs>
          <w:tab w:leader="none" w:pos="4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(i) 36,354 shares of common stock issuable upon vesting of RSUs within 60 days of April 10, 2023, and (ii) 267,511 shares of common stock subject to stock options exercisable within 60 days of April 10, 2023.</w:t>
      </w:r>
    </w:p>
    <w:p>
      <w:pPr>
        <w:spacing w:after="0" w:line="61" w:lineRule="exact"/>
        <w:rPr>
          <w:rFonts w:ascii="Arial" w:cs="Arial" w:eastAsia="Arial" w:hAnsi="Arial"/>
          <w:sz w:val="16"/>
          <w:szCs w:val="16"/>
          <w:color w:val="auto"/>
        </w:rPr>
      </w:pPr>
    </w:p>
    <w:p>
      <w:pPr>
        <w:ind w:left="424" w:right="360" w:hanging="424"/>
        <w:spacing w:after="0" w:line="266" w:lineRule="auto"/>
        <w:tabs>
          <w:tab w:leader="none" w:pos="4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According to the information reported by BlackRock, Inc. (“BlackRock”) on a Schedule 13G/A filed on January 23, 2023, BlackRock beneficially owns an aggregate of 4,613,510 shares of common stock, which consists of (i) 4,554,491 shares as to which it has sole voting power and (ii) 4,613,510 shares as to which it has sole dispositive power. The principal address of BlackRock is 55 East 52nd Street, New York, NY 10055.</w:t>
      </w:r>
    </w:p>
    <w:p>
      <w:pPr>
        <w:spacing w:after="0" w:line="76" w:lineRule="exact"/>
        <w:rPr>
          <w:rFonts w:ascii="Arial" w:cs="Arial" w:eastAsia="Arial" w:hAnsi="Arial"/>
          <w:sz w:val="16"/>
          <w:szCs w:val="16"/>
          <w:color w:val="auto"/>
        </w:rPr>
      </w:pPr>
    </w:p>
    <w:p>
      <w:pPr>
        <w:ind w:left="424" w:right="60" w:hanging="424"/>
        <w:spacing w:after="0" w:line="259" w:lineRule="auto"/>
        <w:tabs>
          <w:tab w:leader="none" w:pos="4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According to the information reported by The Vanguard Group (“Vanguard”) on a Schedule 13G/A filed on February 9, 2023, Vanguard beneficially owns an aggregate of 3,486,717 shares of common stock, which consists of (i) 65,355 shares as to which it has shared voting power, (ii) 3,386,246 shares as to which it has sole dispositive power, and (iii) 100,471 shares as to which it has shared dispositive power. The principal address of Vanguard is 100 Vanguard Blvd., Malvern, PA 19355.</w:t>
      </w:r>
    </w:p>
    <w:p>
      <w:pPr>
        <w:spacing w:after="0" w:line="83" w:lineRule="exact"/>
        <w:rPr>
          <w:rFonts w:ascii="Arial" w:cs="Arial" w:eastAsia="Arial" w:hAnsi="Arial"/>
          <w:sz w:val="16"/>
          <w:szCs w:val="16"/>
          <w:color w:val="auto"/>
        </w:rPr>
      </w:pPr>
    </w:p>
    <w:p>
      <w:pPr>
        <w:ind w:left="424" w:hanging="424"/>
        <w:spacing w:after="0" w:line="259" w:lineRule="auto"/>
        <w:tabs>
          <w:tab w:leader="none" w:pos="4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According to the information reported by Neuberger Berman Group LLC (“Neuberger”) on a Schedule 13G/A filed on February 10, 2023, Neuberger beneficially owns an aggregate of 2,047,284 shares of common stock, which consists of (i) 2,023,980 shares as to which it has shared voting power and (ii) 2,047,284 shares as to which it has shared dispositive power. The principal address of Neuberger is 1290 Avenue of the Americas, New York, NY 10104.</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301" w:right="4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RELATED PERSON TRANSACTIONS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We describe below transactions and series of similar transactions, since January 1, 2022, to which we were a party or will be a party, in which:</w:t>
      </w:r>
    </w:p>
    <w:p>
      <w:pPr>
        <w:spacing w:after="0" w:line="59" w:lineRule="exact"/>
        <w:rPr>
          <w:sz w:val="20"/>
          <w:szCs w:val="20"/>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960" w:right="60" w:hanging="424"/>
        <w:spacing w:after="0" w:line="271"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54" w:lineRule="exact"/>
        <w:rPr>
          <w:sz w:val="20"/>
          <w:szCs w:val="20"/>
          <w:color w:val="auto"/>
        </w:rPr>
      </w:pPr>
    </w:p>
    <w:p>
      <w:pPr>
        <w:ind w:right="820" w:firstLine="440"/>
        <w:spacing w:after="0" w:line="271"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Family Relationships</w:t>
      </w:r>
    </w:p>
    <w:p>
      <w:pPr>
        <w:spacing w:after="0" w:line="10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7"/>
          <w:szCs w:val="17"/>
          <w:color w:val="auto"/>
        </w:rPr>
        <w:t>During 2022, Deepti S. Thakar, Sister of Sumedh S. Thakar, our Chief Executive Officer, was employed by us as Product Manager, Technical Content Experience. During 2022, Deepti S. Thakar earned total compensation of $203,680, consisting of base salary, bonus and equity compensation. In addition, Deepti S. Thakar participated in our employee benefit plans and arrangements which are generally made available to other employees at her level, including employee equity incentive and benefit plans, including health, vacation, Section 401(k) retirement savings plans and insurance plans. The compensation of Deepti S. Thakar was established in accordance with our employment and compensation practices applicable to employees with equivalent qualifications, experience and responsibilities.</w:t>
      </w:r>
    </w:p>
    <w:p>
      <w:pPr>
        <w:spacing w:after="0" w:line="165" w:lineRule="exact"/>
        <w:rPr>
          <w:sz w:val="20"/>
          <w:szCs w:val="20"/>
          <w:color w:val="auto"/>
        </w:rPr>
      </w:pPr>
    </w:p>
    <w:p>
      <w:pPr>
        <w:ind w:right="660" w:firstLine="440"/>
        <w:spacing w:after="0" w:line="271" w:lineRule="auto"/>
        <w:rPr>
          <w:sz w:val="20"/>
          <w:szCs w:val="20"/>
          <w:color w:val="auto"/>
        </w:rPr>
      </w:pPr>
      <w:r>
        <w:rPr>
          <w:rFonts w:ascii="Arial" w:cs="Arial" w:eastAsia="Arial" w:hAnsi="Arial"/>
          <w:sz w:val="18"/>
          <w:szCs w:val="18"/>
          <w:color w:val="auto"/>
        </w:rPr>
        <w:t>The agreements and transactions described under this section were reviewed and approved or ratified by our Audit and Risk Committee in accordance with our related party transaction policy described below.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4" w:lineRule="exact"/>
        <w:rPr>
          <w:sz w:val="20"/>
          <w:szCs w:val="20"/>
          <w:color w:val="auto"/>
        </w:rPr>
      </w:pPr>
    </w:p>
    <w:p>
      <w:pPr>
        <w:ind w:right="600" w:firstLine="440"/>
        <w:spacing w:after="0" w:line="271" w:lineRule="auto"/>
        <w:rPr>
          <w:sz w:val="20"/>
          <w:szCs w:val="20"/>
          <w:color w:val="auto"/>
        </w:rPr>
      </w:pPr>
      <w:r>
        <w:rPr>
          <w:rFonts w:ascii="Arial" w:cs="Arial" w:eastAsia="Arial" w:hAnsi="Arial"/>
          <w:sz w:val="18"/>
          <w:szCs w:val="18"/>
          <w:color w:val="auto"/>
        </w:rPr>
        <w:t>Our Audit and Risk Committee has the primary responsibility for reviewing and approving or ratifying transactions with related parties.</w:t>
      </w:r>
    </w:p>
    <w:p>
      <w:pPr>
        <w:spacing w:after="0" w:line="154"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color w:val="auto"/>
        </w:rPr>
        <w:t>We have a formal written policy providing that our executive officers, directors, nominees for election as directors, any person or entity known to be the beneficial owner of more than 5% of any class of our voting securities, any immediate family member of any of the foregoing persons, and any firm, corporation, or other entity in which any of the foregoing persons is employed, is a general partner or principal or in a similar position, or in which such person has a 5% or greater beneficial ownership interest (each, a “Related Party”), are/is not permitted to enter into a “Related Party Transaction” with us without the consent of our Audit and Risk Committee. For the purposes of this policy, a “Related Party Transaction” is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material interest (including any transactions requiring disclosure under Item 404 of Regulation S-K promulgated under the Exchange Act), other than transactions available to all U.S. employees of the Company.</w:t>
      </w:r>
    </w:p>
    <w:p>
      <w:pPr>
        <w:spacing w:after="0" w:line="180" w:lineRule="exact"/>
        <w:rPr>
          <w:sz w:val="20"/>
          <w:szCs w:val="20"/>
          <w:color w:val="auto"/>
        </w:rPr>
      </w:pPr>
    </w:p>
    <w:p>
      <w:pPr>
        <w:ind w:right="160" w:firstLine="440"/>
        <w:spacing w:after="0" w:line="247" w:lineRule="auto"/>
        <w:rPr>
          <w:sz w:val="20"/>
          <w:szCs w:val="20"/>
          <w:color w:val="auto"/>
        </w:rPr>
      </w:pPr>
      <w:r>
        <w:rPr>
          <w:rFonts w:ascii="Arial" w:cs="Arial" w:eastAsia="Arial" w:hAnsi="Arial"/>
          <w:sz w:val="18"/>
          <w:szCs w:val="18"/>
          <w:color w:val="auto"/>
        </w:rPr>
        <w:t>In determining whether to approve a Related Party Transaction, our Audit and Risk Committee is to consider the relevant facts and circumstances available and deemed relevant to the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96" w:right="47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0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69" w:lineRule="exact"/>
        <w:rPr>
          <w:sz w:val="20"/>
          <w:szCs w:val="20"/>
          <w:color w:val="auto"/>
        </w:rPr>
      </w:pPr>
    </w:p>
    <w:p>
      <w:pPr>
        <w:jc w:val="both"/>
        <w:ind w:right="300" w:firstLine="440"/>
        <w:spacing w:after="0" w:line="253"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2022, all Section 16(a) filing requirements were satisfied on a timely basis.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Annual Report and SEC Filings</w:t>
      </w:r>
    </w:p>
    <w:p>
      <w:pPr>
        <w:spacing w:after="0" w:line="104" w:lineRule="exact"/>
        <w:rPr>
          <w:sz w:val="20"/>
          <w:szCs w:val="20"/>
          <w:color w:val="auto"/>
        </w:rPr>
      </w:pPr>
    </w:p>
    <w:p>
      <w:pPr>
        <w:ind w:right="60" w:firstLine="440"/>
        <w:spacing w:after="0" w:line="223" w:lineRule="auto"/>
        <w:rPr>
          <w:sz w:val="20"/>
          <w:szCs w:val="20"/>
          <w:color w:val="auto"/>
        </w:rPr>
      </w:pPr>
      <w:r>
        <w:rPr>
          <w:rFonts w:ascii="Arial" w:cs="Arial" w:eastAsia="Arial" w:hAnsi="Arial"/>
          <w:sz w:val="18"/>
          <w:szCs w:val="18"/>
          <w:color w:val="auto"/>
        </w:rPr>
        <w:t>Our financial statements for the fiscal year ended December 31, 2022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919 East Hillsdale Boulevard,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Foster City, California 94404.</w:t>
      </w:r>
    </w:p>
    <w:p>
      <w:pPr>
        <w:spacing w:after="0" w:line="181" w:lineRule="exact"/>
        <w:rPr>
          <w:sz w:val="20"/>
          <w:szCs w:val="20"/>
          <w:color w:val="auto"/>
        </w:rPr>
      </w:pPr>
    </w:p>
    <w:p>
      <w:pPr>
        <w:ind w:left="5000"/>
        <w:spacing w:after="0"/>
        <w:tabs>
          <w:tab w:leader="none" w:pos="5440" w:val="left"/>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212" w:lineRule="exact"/>
        <w:rPr>
          <w:sz w:val="20"/>
          <w:szCs w:val="20"/>
          <w:color w:val="auto"/>
        </w:rPr>
      </w:pPr>
    </w:p>
    <w:p>
      <w:pPr>
        <w:ind w:right="500" w:firstLine="440"/>
        <w:spacing w:after="0" w:line="253" w:lineRule="auto"/>
        <w:rPr>
          <w:sz w:val="20"/>
          <w:szCs w:val="20"/>
          <w:color w:val="auto"/>
        </w:rPr>
      </w:pPr>
      <w:r>
        <w:rPr>
          <w:rFonts w:ascii="Arial" w:cs="Arial" w:eastAsia="Arial" w:hAnsi="Arial"/>
          <w:sz w:val="18"/>
          <w:szCs w:val="18"/>
          <w:color w:val="auto"/>
        </w:rPr>
        <w:t>Our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169" w:lineRule="exact"/>
        <w:rPr>
          <w:sz w:val="20"/>
          <w:szCs w:val="20"/>
          <w:color w:val="auto"/>
        </w:rPr>
      </w:pPr>
    </w:p>
    <w:p>
      <w:pPr>
        <w:ind w:right="300" w:firstLine="440"/>
        <w:spacing w:after="0" w:line="253"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6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THE BOARD OF DIRECTORS</w:t>
      </w:r>
    </w:p>
    <w:p>
      <w:pPr>
        <w:spacing w:after="0" w:line="2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Foster City, California</w:t>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April 20, 2023</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440" w:top="296" w:right="49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APPENDIX 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0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Qualys reports its financial results in accordance with generally accepted accounting principles in the United States (“GAAP”).</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However, management believes that certain non-GAAP financial measures provide users with additional meaningful financial information.</w:t>
      </w:r>
    </w:p>
    <w:p>
      <w:pPr>
        <w:spacing w:after="0" w:line="205" w:lineRule="exact"/>
        <w:rPr>
          <w:sz w:val="20"/>
          <w:szCs w:val="20"/>
          <w:color w:val="auto"/>
        </w:rPr>
      </w:pPr>
    </w:p>
    <w:p>
      <w:pPr>
        <w:ind w:right="200" w:firstLine="440"/>
        <w:spacing w:after="0" w:line="242" w:lineRule="auto"/>
        <w:rPr>
          <w:sz w:val="20"/>
          <w:szCs w:val="20"/>
          <w:color w:val="auto"/>
        </w:rPr>
      </w:pPr>
      <w:r>
        <w:rPr>
          <w:rFonts w:ascii="Arial" w:cs="Arial" w:eastAsia="Arial" w:hAnsi="Arial"/>
          <w:sz w:val="18"/>
          <w:szCs w:val="18"/>
          <w:color w:val="auto"/>
        </w:rPr>
        <w:t>The non-GAAP measures presented in this proxy statement include non-GAAP earnings per share (“EPS”), Adjusted EBITDA, and free cash flow per share. Our calculation of these non-GAAP measures may not be comparable with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Annual Report on Form 10-K for the fiscal year ended December 31, 2022, and our subsequent filings with the SEC for additional information about the non-GAAP measures presented herein, including a description of the use of such measures.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0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107,992</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Plus: Stock-based compensation</w:t>
            </w: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53,408</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67,579</w:t>
            </w: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Plus: Amortization of intangible assets</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5,686</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Plus: (Less): Tax adjustment</w:t>
            </w: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(20,563)</w:t>
            </w: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(15,927)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146,523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129,273</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GAAP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902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share:</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Weighted average shares used in non-GAAP net income per share:</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38,453</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39,030</w:t>
            </w:r>
          </w:p>
        </w:tc>
        <w:tc>
          <w:tcPr>
            <w:tcW w:w="0" w:type="dxa"/>
            <w:vAlign w:val="bottom"/>
          </w:tcPr>
          <w:p>
            <w:pPr>
              <w:spacing w:after="0"/>
              <w:rPr>
                <w:sz w:val="1"/>
                <w:szCs w:val="1"/>
                <w:color w:val="auto"/>
              </w:rPr>
            </w:pPr>
          </w:p>
        </w:tc>
      </w:tr>
      <w:tr>
        <w:trPr>
          <w:trHeight w:val="239"/>
        </w:trPr>
        <w:tc>
          <w:tcPr>
            <w:tcW w:w="902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39,344</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40,118</w:t>
            </w:r>
          </w:p>
        </w:tc>
        <w:tc>
          <w:tcPr>
            <w:tcW w:w="0" w:type="dxa"/>
            <w:vAlign w:val="bottom"/>
          </w:tcPr>
          <w:p>
            <w:pPr>
              <w:spacing w:after="0"/>
              <w:rPr>
                <w:sz w:val="1"/>
                <w:szCs w:val="1"/>
                <w:color w:val="auto"/>
              </w:rPr>
            </w:pPr>
          </w:p>
        </w:tc>
      </w:tr>
      <w:tr>
        <w:trPr>
          <w:trHeight w:val="359"/>
        </w:trPr>
        <w:tc>
          <w:tcPr>
            <w:tcW w:w="9020" w:type="dxa"/>
            <w:vAlign w:val="bottom"/>
          </w:tcPr>
          <w:p>
            <w:pPr>
              <w:ind w:left="5360"/>
              <w:spacing w:after="0"/>
              <w:rPr>
                <w:sz w:val="20"/>
                <w:szCs w:val="20"/>
                <w:color w:val="auto"/>
              </w:rPr>
            </w:pPr>
            <w:r>
              <w:rPr>
                <w:rFonts w:ascii="Arial" w:cs="Arial" w:eastAsia="Arial" w:hAnsi="Arial"/>
                <w:sz w:val="18"/>
                <w:szCs w:val="18"/>
                <w:color w:val="auto"/>
              </w:rPr>
              <w:t>A-1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6" w:right="43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ADJUSTED EBITDA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5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5140" w:type="dxa"/>
            <w:vAlign w:val="bottom"/>
            <w:tcBorders>
              <w:bottom w:val="single" w:sz="8" w:color="E5E5E5"/>
            </w:tcBorders>
          </w:tcPr>
          <w:p>
            <w:pPr>
              <w:spacing w:after="0"/>
              <w:rPr>
                <w:sz w:val="13"/>
                <w:szCs w:val="13"/>
                <w:color w:val="auto"/>
              </w:rPr>
            </w:pPr>
          </w:p>
        </w:tc>
        <w:tc>
          <w:tcPr>
            <w:tcW w:w="3600" w:type="dxa"/>
            <w:vAlign w:val="bottom"/>
            <w:tcBorders>
              <w:bottom w:val="single" w:sz="8" w:color="E5E5E5"/>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E5E5E5"/>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E5E5E5"/>
            </w:tcBorders>
          </w:tcPr>
          <w:p>
            <w:pPr>
              <w:spacing w:after="0"/>
              <w:rPr>
                <w:sz w:val="13"/>
                <w:szCs w:val="13"/>
                <w:color w:val="auto"/>
              </w:rPr>
            </w:pPr>
          </w:p>
        </w:tc>
      </w:tr>
      <w:tr>
        <w:trPr>
          <w:trHeight w:val="223"/>
        </w:trPr>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360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$107,992</w:t>
            </w:r>
          </w:p>
        </w:tc>
        <w:tc>
          <w:tcPr>
            <w:tcW w:w="520" w:type="dxa"/>
            <w:vAlign w:val="bottom"/>
            <w:shd w:val="clear" w:color="auto" w:fill="E5E5E5"/>
          </w:tcPr>
          <w:p>
            <w:pPr>
              <w:spacing w:after="0"/>
              <w:rPr>
                <w:sz w:val="19"/>
                <w:szCs w:val="19"/>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70,960</w:t>
            </w:r>
          </w:p>
        </w:tc>
        <w:tc>
          <w:tcPr>
            <w:tcW w:w="220" w:type="dxa"/>
            <w:vAlign w:val="bottom"/>
            <w:shd w:val="clear" w:color="auto" w:fill="E5E5E5"/>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Net income margin</w:t>
            </w:r>
          </w:p>
        </w:tc>
        <w:tc>
          <w:tcPr>
            <w:tcW w:w="4880" w:type="dxa"/>
            <w:vAlign w:val="bottom"/>
            <w:gridSpan w:val="3"/>
          </w:tcPr>
          <w:p>
            <w:pPr>
              <w:jc w:val="right"/>
              <w:ind w:right="3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29"/>
        </w:trPr>
        <w:tc>
          <w:tcPr>
            <w:tcW w:w="51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Depreciation and amortization of property and equipment</w:t>
            </w:r>
          </w:p>
        </w:tc>
        <w:tc>
          <w:tcPr>
            <w:tcW w:w="4880" w:type="dxa"/>
            <w:vAlign w:val="bottom"/>
            <w:gridSpan w:val="3"/>
            <w:shd w:val="clear" w:color="auto" w:fill="E5E5E5"/>
          </w:tcPr>
          <w:p>
            <w:pPr>
              <w:jc w:val="right"/>
              <w:ind w:right="520"/>
              <w:spacing w:after="0"/>
              <w:rPr>
                <w:sz w:val="20"/>
                <w:szCs w:val="20"/>
                <w:color w:val="auto"/>
              </w:rPr>
            </w:pPr>
            <w:r>
              <w:rPr>
                <w:rFonts w:ascii="Arial" w:cs="Arial" w:eastAsia="Arial" w:hAnsi="Arial"/>
                <w:sz w:val="18"/>
                <w:szCs w:val="18"/>
                <w:color w:val="auto"/>
              </w:rPr>
              <w:t>28,936</w:t>
            </w:r>
          </w:p>
        </w:tc>
        <w:tc>
          <w:tcPr>
            <w:tcW w:w="120" w:type="dxa"/>
            <w:vAlign w:val="bottom"/>
            <w:shd w:val="clear" w:color="auto" w:fill="E5E5E5"/>
          </w:tcPr>
          <w:p>
            <w:pPr>
              <w:spacing w:after="0"/>
              <w:rPr>
                <w:sz w:val="19"/>
                <w:szCs w:val="19"/>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29,236</w:t>
            </w:r>
          </w:p>
        </w:tc>
      </w:tr>
      <w:tr>
        <w:trPr>
          <w:trHeight w:val="229"/>
        </w:trPr>
        <w:tc>
          <w:tcPr>
            <w:tcW w:w="51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4880" w:type="dxa"/>
            <w:vAlign w:val="bottom"/>
            <w:gridSpan w:val="3"/>
          </w:tcPr>
          <w:p>
            <w:pPr>
              <w:jc w:val="right"/>
              <w:ind w:right="520"/>
              <w:spacing w:after="0"/>
              <w:rPr>
                <w:sz w:val="20"/>
                <w:szCs w:val="20"/>
                <w:color w:val="auto"/>
              </w:rPr>
            </w:pPr>
            <w:r>
              <w:rPr>
                <w:rFonts w:ascii="Arial" w:cs="Arial" w:eastAsia="Arial" w:hAnsi="Arial"/>
                <w:sz w:val="18"/>
                <w:szCs w:val="18"/>
                <w:color w:val="auto"/>
              </w:rPr>
              <w:t>5,686</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6,661</w:t>
            </w:r>
          </w:p>
        </w:tc>
      </w:tr>
      <w:tr>
        <w:trPr>
          <w:trHeight w:val="230"/>
        </w:trPr>
        <w:tc>
          <w:tcPr>
            <w:tcW w:w="51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Income tax provision</w:t>
            </w:r>
          </w:p>
        </w:tc>
        <w:tc>
          <w:tcPr>
            <w:tcW w:w="4880" w:type="dxa"/>
            <w:vAlign w:val="bottom"/>
            <w:gridSpan w:val="3"/>
            <w:shd w:val="clear" w:color="auto" w:fill="E5E5E5"/>
          </w:tcPr>
          <w:p>
            <w:pPr>
              <w:jc w:val="right"/>
              <w:ind w:right="520"/>
              <w:spacing w:after="0"/>
              <w:rPr>
                <w:sz w:val="20"/>
                <w:szCs w:val="20"/>
                <w:color w:val="auto"/>
              </w:rPr>
            </w:pPr>
            <w:r>
              <w:rPr>
                <w:rFonts w:ascii="Arial" w:cs="Arial" w:eastAsia="Arial" w:hAnsi="Arial"/>
                <w:sz w:val="18"/>
                <w:szCs w:val="18"/>
                <w:color w:val="auto"/>
              </w:rPr>
              <w:t>25,708</w:t>
            </w:r>
          </w:p>
        </w:tc>
        <w:tc>
          <w:tcPr>
            <w:tcW w:w="120" w:type="dxa"/>
            <w:vAlign w:val="bottom"/>
            <w:shd w:val="clear" w:color="auto" w:fill="E5E5E5"/>
          </w:tcPr>
          <w:p>
            <w:pPr>
              <w:spacing w:after="0"/>
              <w:rPr>
                <w:sz w:val="19"/>
                <w:szCs w:val="19"/>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18,437</w:t>
            </w:r>
          </w:p>
        </w:tc>
      </w:tr>
      <w:tr>
        <w:trPr>
          <w:trHeight w:val="229"/>
        </w:trPr>
        <w:tc>
          <w:tcPr>
            <w:tcW w:w="51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4880" w:type="dxa"/>
            <w:vAlign w:val="bottom"/>
            <w:gridSpan w:val="3"/>
          </w:tcPr>
          <w:p>
            <w:pPr>
              <w:jc w:val="right"/>
              <w:ind w:right="520"/>
              <w:spacing w:after="0"/>
              <w:rPr>
                <w:sz w:val="20"/>
                <w:szCs w:val="20"/>
                <w:color w:val="auto"/>
              </w:rPr>
            </w:pPr>
            <w:r>
              <w:rPr>
                <w:rFonts w:ascii="Arial" w:cs="Arial" w:eastAsia="Arial" w:hAnsi="Arial"/>
                <w:sz w:val="18"/>
                <w:szCs w:val="18"/>
                <w:color w:val="auto"/>
              </w:rPr>
              <w:t>53,408</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67,579</w:t>
            </w:r>
          </w:p>
        </w:tc>
      </w:tr>
      <w:tr>
        <w:trPr>
          <w:trHeight w:val="230"/>
        </w:trPr>
        <w:tc>
          <w:tcPr>
            <w:tcW w:w="51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Other income (expense), net</w:t>
            </w:r>
          </w:p>
        </w:tc>
        <w:tc>
          <w:tcPr>
            <w:tcW w:w="4880" w:type="dxa"/>
            <w:vAlign w:val="bottom"/>
            <w:gridSpan w:val="3"/>
            <w:shd w:val="clear" w:color="auto" w:fill="E5E5E5"/>
          </w:tcPr>
          <w:p>
            <w:pPr>
              <w:jc w:val="right"/>
              <w:ind w:right="460"/>
              <w:spacing w:after="0"/>
              <w:rPr>
                <w:sz w:val="20"/>
                <w:szCs w:val="20"/>
                <w:color w:val="auto"/>
              </w:rPr>
            </w:pPr>
            <w:r>
              <w:rPr>
                <w:rFonts w:ascii="Arial" w:cs="Arial" w:eastAsia="Arial" w:hAnsi="Arial"/>
                <w:sz w:val="18"/>
                <w:szCs w:val="18"/>
                <w:color w:val="auto"/>
              </w:rPr>
              <w:t>(3,153)</w:t>
            </w:r>
          </w:p>
        </w:tc>
        <w:tc>
          <w:tcPr>
            <w:tcW w:w="120" w:type="dxa"/>
            <w:vAlign w:val="bottom"/>
            <w:shd w:val="clear" w:color="auto" w:fill="E5E5E5"/>
          </w:tcPr>
          <w:p>
            <w:pPr>
              <w:spacing w:after="0"/>
              <w:rPr>
                <w:sz w:val="19"/>
                <w:szCs w:val="19"/>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(1,714)</w:t>
            </w:r>
          </w:p>
        </w:tc>
      </w:tr>
      <w:tr>
        <w:trPr>
          <w:trHeight w:val="234"/>
        </w:trPr>
        <w:tc>
          <w:tcPr>
            <w:tcW w:w="5140" w:type="dxa"/>
            <w:vAlign w:val="bottom"/>
          </w:tcPr>
          <w:p>
            <w:pPr>
              <w:spacing w:after="0"/>
              <w:rPr>
                <w:sz w:val="20"/>
                <w:szCs w:val="20"/>
                <w:color w:val="auto"/>
              </w:rPr>
            </w:pPr>
            <w:r>
              <w:rPr>
                <w:rFonts w:ascii="Arial" w:cs="Arial" w:eastAsia="Arial" w:hAnsi="Arial"/>
                <w:sz w:val="18"/>
                <w:szCs w:val="18"/>
                <w:color w:val="auto"/>
              </w:rPr>
              <w:t>Adjusted EBITDA</w:t>
            </w:r>
          </w:p>
        </w:tc>
        <w:tc>
          <w:tcPr>
            <w:tcW w:w="36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$218,577</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191,159</w:t>
            </w:r>
          </w:p>
        </w:tc>
        <w:tc>
          <w:tcPr>
            <w:tcW w:w="22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6"/>
        </w:trPr>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rPr>
              <w:t>Adjusted EBITDA margin</w:t>
            </w:r>
          </w:p>
        </w:tc>
        <w:tc>
          <w:tcPr>
            <w:tcW w:w="4880" w:type="dxa"/>
            <w:vAlign w:val="bottom"/>
            <w:gridSpan w:val="3"/>
            <w:shd w:val="clear" w:color="auto" w:fill="E5E5E5"/>
          </w:tcPr>
          <w:p>
            <w:pPr>
              <w:jc w:val="right"/>
              <w:ind w:right="3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E5E5E5"/>
          </w:tcPr>
          <w:p>
            <w:pPr>
              <w:spacing w:after="0"/>
              <w:rPr>
                <w:sz w:val="19"/>
                <w:szCs w:val="19"/>
                <w:color w:val="auto"/>
              </w:rPr>
            </w:pPr>
          </w:p>
        </w:tc>
        <w:tc>
          <w:tcPr>
            <w:tcW w:w="8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46%</w:t>
            </w:r>
          </w:p>
        </w:tc>
      </w:tr>
      <w:tr>
        <w:trPr>
          <w:trHeight w:val="368"/>
        </w:trPr>
        <w:tc>
          <w:tcPr>
            <w:tcW w:w="5140" w:type="dxa"/>
            <w:vAlign w:val="bottom"/>
          </w:tcPr>
          <w:p>
            <w:pPr>
              <w:spacing w:after="0"/>
              <w:rPr>
                <w:sz w:val="24"/>
                <w:szCs w:val="24"/>
                <w:color w:val="auto"/>
              </w:rPr>
            </w:pPr>
          </w:p>
        </w:tc>
        <w:tc>
          <w:tcPr>
            <w:tcW w:w="4880" w:type="dxa"/>
            <w:vAlign w:val="bottom"/>
            <w:gridSpan w:val="3"/>
          </w:tcPr>
          <w:p>
            <w:pPr>
              <w:jc w:val="right"/>
              <w:ind w:right="4380"/>
              <w:spacing w:after="0"/>
              <w:rPr>
                <w:sz w:val="20"/>
                <w:szCs w:val="20"/>
                <w:color w:val="auto"/>
              </w:rPr>
            </w:pPr>
            <w:r>
              <w:rPr>
                <w:rFonts w:ascii="Arial" w:cs="Arial" w:eastAsia="Arial" w:hAnsi="Arial"/>
                <w:sz w:val="18"/>
                <w:szCs w:val="18"/>
                <w:color w:val="auto"/>
              </w:rPr>
              <w:t>A-2</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96" w:right="439" w:bottom="1440"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1)"/>
      <w:numFmt w:val="decimal"/>
      <w:start w:val="650"/>
    </w:lvl>
  </w:abstractNum>
  <w:abstractNum w:abstractNumId="12">
    <w:nsid w:val="7724C67E"/>
    <w:multiLevelType w:val="hybridMultilevel"/>
    <w:lvl w:ilvl="0">
      <w:lvlJc w:val="left"/>
      <w:lvlText w:val="(%1)"/>
      <w:numFmt w:val="lowerRoman"/>
      <w:start w:val="2"/>
    </w:lvl>
    <w:lvl w:ilvl="1">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3"/>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lowerRoman"/>
      <w:start w:val="4"/>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2"/>
    </w:lvl>
  </w:abstractNum>
  <w:abstractNum w:abstractNumId="43">
    <w:nsid w:val="70C6A529"/>
    <w:multiLevelType w:val="hybridMultilevel"/>
    <w:lvl w:ilvl="0">
      <w:lvlJc w:val="left"/>
      <w:lvlText w:val="(%1)"/>
      <w:numFmt w:val="decimal"/>
      <w:start w:val="12"/>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9"/>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4"/>
    </w:lvl>
  </w:abstractNum>
  <w:abstractNum w:abstractNumId="55">
    <w:nsid w:val="354FE9F9"/>
    <w:multiLevelType w:val="hybridMultilevel"/>
    <w:lvl w:ilvl="0">
      <w:lvlJc w:val="left"/>
      <w:lvlText w:val="(%1)"/>
      <w:numFmt w:val="decimal"/>
      <w:start w:val="5"/>
    </w:lvl>
  </w:abstractNum>
  <w:abstractNum w:abstractNumId="56">
    <w:nsid w:val="15B5AF5C"/>
    <w:multiLevelType w:val="hybridMultilevel"/>
    <w:lvl w:ilvl="0">
      <w:lvlJc w:val="left"/>
      <w:lvlText w:val="(%1)"/>
      <w:numFmt w:val="decimal"/>
      <w:start w:val="6"/>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1)"/>
      <w:numFmt w:val="decimal"/>
      <w:start w:val="3"/>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2023-04-20T15:30:38Z</dcterms:created>
  <dcterms:modified xsi:type="dcterms:W3CDTF">2023-04-20T15:30:38Z</dcterms:modified>
</cp:coreProperties>
</file>