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4"/>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1004"/>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SECURITIES EXCHANGE ACT OF 1934</w:t>
      </w:r>
    </w:p>
    <w:p>
      <w:pPr>
        <w:spacing w:after="0" w:line="57" w:lineRule="exact"/>
        <w:rPr>
          <w:sz w:val="24"/>
          <w:szCs w:val="24"/>
          <w:color w:val="auto"/>
        </w:rPr>
      </w:pPr>
    </w:p>
    <w:p>
      <w:pPr>
        <w:ind w:left="4"/>
        <w:spacing w:after="0" w:line="207" w:lineRule="exact"/>
        <w:tabs>
          <w:tab w:leader="none" w:pos="192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4"/>
        <w:spacing w:after="0" w:line="207" w:lineRule="exact"/>
        <w:tabs>
          <w:tab w:leader="none" w:pos="3404"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 w:right="3119" w:hanging="4"/>
        <w:spacing w:after="0" w:line="283" w:lineRule="exact"/>
        <w:tabs>
          <w:tab w:leader="none" w:pos="5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212"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604"/>
        <w:spacing w:after="0"/>
        <w:rPr>
          <w:sz w:val="20"/>
          <w:szCs w:val="20"/>
          <w:color w:val="auto"/>
        </w:rPr>
      </w:pPr>
      <w:r>
        <w:rPr>
          <w:rFonts w:ascii="Arial" w:cs="Arial" w:eastAsia="Arial" w:hAnsi="Arial"/>
          <w:sz w:val="18"/>
          <w:szCs w:val="18"/>
          <w:b w:val="1"/>
          <w:b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89"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ind w:right="-39"/>
        <w:spacing w:after="0"/>
        <w:rPr>
          <w:sz w:val="20"/>
          <w:szCs w:val="20"/>
          <w:color w:val="auto"/>
        </w:rPr>
      </w:pPr>
      <w:r>
        <w:rPr>
          <w:rFonts w:ascii="Arial" w:cs="Arial" w:eastAsia="Arial" w:hAnsi="Arial"/>
          <w:sz w:val="18"/>
          <w:szCs w:val="18"/>
          <w:b w:val="1"/>
          <w:bCs w:val="1"/>
          <w:color w:val="auto"/>
        </w:rPr>
        <w:t>Foster City, California 94404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To Be Held at 11:00 a.m. Pacific Daylight Time on Wednesday, June 8,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QUALYS, INC.:</w:t>
      </w:r>
    </w:p>
    <w:p>
      <w:pPr>
        <w:spacing w:after="0" w:line="126" w:lineRule="exact"/>
        <w:rPr>
          <w:sz w:val="20"/>
          <w:szCs w:val="20"/>
          <w:color w:val="auto"/>
        </w:rPr>
      </w:pPr>
    </w:p>
    <w:p>
      <w:pPr>
        <w:ind w:firstLine="440"/>
        <w:spacing w:after="0" w:line="281" w:lineRule="auto"/>
        <w:rPr>
          <w:sz w:val="20"/>
          <w:szCs w:val="20"/>
          <w:color w:val="auto"/>
        </w:rPr>
      </w:pPr>
      <w:r>
        <w:rPr>
          <w:rFonts w:ascii="Arial" w:cs="Arial" w:eastAsia="Arial" w:hAnsi="Arial"/>
          <w:sz w:val="18"/>
          <w:szCs w:val="18"/>
          <w:color w:val="auto"/>
        </w:rPr>
        <w:t xml:space="preserve">The 2022 Annual Meeting of Stockholders of Qualys, Inc., a Delaware corporation, will be held online on </w:t>
      </w:r>
      <w:r>
        <w:rPr>
          <w:rFonts w:ascii="Arial" w:cs="Arial" w:eastAsia="Arial" w:hAnsi="Arial"/>
          <w:sz w:val="18"/>
          <w:szCs w:val="18"/>
          <w:b w:val="1"/>
          <w:bCs w:val="1"/>
          <w:color w:val="auto"/>
        </w:rPr>
        <w:t>Wednesday, June 8, 2022,</w:t>
      </w:r>
      <w:r>
        <w:rPr>
          <w:rFonts w:ascii="Arial" w:cs="Arial" w:eastAsia="Arial" w:hAnsi="Arial"/>
          <w:sz w:val="18"/>
          <w:szCs w:val="18"/>
          <w:color w:val="auto"/>
        </w:rPr>
        <w:t xml:space="preserve"> </w:t>
      </w:r>
      <w:r>
        <w:rPr>
          <w:rFonts w:ascii="Arial" w:cs="Arial" w:eastAsia="Arial" w:hAnsi="Arial"/>
          <w:sz w:val="18"/>
          <w:szCs w:val="18"/>
          <w:b w:val="1"/>
          <w:bCs w:val="1"/>
          <w:color w:val="auto"/>
        </w:rPr>
        <w:t>at 11:00 a.m. Pacific Daylight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6998970" cy="861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861060"/>
                    </a:xfrm>
                    <a:prstGeom prst="rect">
                      <a:avLst/>
                    </a:prstGeom>
                    <a:noFill/>
                  </pic:spPr>
                </pic:pic>
              </a:graphicData>
            </a:graphic>
          </wp:anchor>
        </w:drawing>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may participate in the meeting only by logging in at:</w:t>
      </w:r>
    </w:p>
    <w:p>
      <w:pPr>
        <w:spacing w:after="0" w:line="104"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www.virtualshareholdermeeting.com/QLYS2022</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Stockholders will be able to listen to the meeting live, vote and submit questions. There will be no physical location for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to attend the meeting.</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44" w:lineRule="exact"/>
        <w:rPr>
          <w:sz w:val="20"/>
          <w:szCs w:val="20"/>
          <w:color w:val="auto"/>
        </w:rPr>
      </w:pPr>
    </w:p>
    <w:p>
      <w:pPr>
        <w:ind w:left="960" w:right="10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2025 annual meeting of stockholders or until their successors are duly elected and qualified;</w:t>
      </w:r>
    </w:p>
    <w:p>
      <w:pPr>
        <w:spacing w:after="0" w:line="86" w:lineRule="exact"/>
        <w:rPr>
          <w:rFonts w:ascii="Arial" w:cs="Arial" w:eastAsia="Arial" w:hAnsi="Arial"/>
          <w:sz w:val="18"/>
          <w:szCs w:val="18"/>
          <w:color w:val="auto"/>
        </w:rPr>
      </w:pPr>
    </w:p>
    <w:p>
      <w:pPr>
        <w:ind w:left="960" w:right="54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2022;</w:t>
      </w:r>
    </w:p>
    <w:p>
      <w:pPr>
        <w:spacing w:after="0" w:line="86" w:lineRule="exact"/>
        <w:rPr>
          <w:rFonts w:ascii="Arial" w:cs="Arial" w:eastAsia="Arial" w:hAnsi="Arial"/>
          <w:sz w:val="18"/>
          <w:szCs w:val="18"/>
          <w:color w:val="auto"/>
        </w:rPr>
      </w:pPr>
    </w:p>
    <w:p>
      <w:pPr>
        <w:ind w:left="960" w:right="42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the proxy statement;</w:t>
      </w:r>
    </w:p>
    <w:p>
      <w:pPr>
        <w:spacing w:after="0" w:line="86"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Qualys, Inc. 2012 Equity Incentive Plan, as amended, restated and extended; and</w:t>
      </w:r>
    </w:p>
    <w:p>
      <w:pPr>
        <w:spacing w:after="0" w:line="144"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44" w:lineRule="exact"/>
        <w:rPr>
          <w:sz w:val="20"/>
          <w:szCs w:val="20"/>
          <w:color w:val="auto"/>
        </w:rPr>
      </w:pPr>
    </w:p>
    <w:p>
      <w:pPr>
        <w:jc w:val="both"/>
        <w:ind w:right="460" w:firstLine="440"/>
        <w:spacing w:after="0" w:line="253" w:lineRule="auto"/>
        <w:rPr>
          <w:sz w:val="20"/>
          <w:szCs w:val="20"/>
          <w:color w:val="auto"/>
        </w:rPr>
      </w:pPr>
      <w:r>
        <w:rPr>
          <w:rFonts w:ascii="Arial" w:cs="Arial" w:eastAsia="Arial" w:hAnsi="Arial"/>
          <w:sz w:val="18"/>
          <w:szCs w:val="18"/>
          <w:color w:val="auto"/>
        </w:rPr>
        <w:t>The board of directors of Qualys, Inc. has fixed the close of business on April 11, 2022 as the record date for the meeting. Only stockholders of record of our common stock on April 11, 2022 are entitled to notice of and to vote at the meeting. Further information regarding voting rights and the matters to be voted upon is presented in the accompanying proxy statement.</w:t>
      </w:r>
    </w:p>
    <w:p>
      <w:pPr>
        <w:spacing w:after="0" w:line="88"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 xml:space="preserve">On or about April 21, 2022, we expect to mail to our stockholders a Notice of Internet Availability of Proxy Materials (the “Notice”) containing instructions on how to access the proxy statement for the 2022 annual meeting and our 2021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All you have to do is enter the control number located on the Notice or your proxy card.</w:t>
      </w:r>
    </w:p>
    <w:p>
      <w:pPr>
        <w:spacing w:after="0" w:line="109"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 xml:space="preserve">YOUR VOTE IS IMPORTANT. Whether or not you plan to participate in the annual meeting, we urge you to submit your vote via the Internet, telephone or mail in advance of the meeting. </w:t>
      </w:r>
      <w:r>
        <w:rPr>
          <w:rFonts w:ascii="Arial" w:cs="Arial" w:eastAsia="Arial" w:hAnsi="Arial"/>
          <w:sz w:val="18"/>
          <w:szCs w:val="18"/>
          <w:color w:val="auto"/>
        </w:rPr>
        <w:t>If you plan to participate in the annual meeting, please see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in the accompanying proxy statement.</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appreciate your continued support of Qualys, Inc.</w:t>
      </w:r>
    </w:p>
    <w:p>
      <w:pPr>
        <w:spacing w:after="0" w:line="1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Sumedh Thakar</w:t>
      </w:r>
    </w:p>
    <w:p>
      <w:pPr>
        <w:spacing w:after="0" w:line="1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Sumedh Thakar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Director, President and Chief Executive Officer</w:t>
      </w:r>
    </w:p>
    <w:p>
      <w:pPr>
        <w:ind w:left="5960"/>
        <w:spacing w:after="0" w:line="234" w:lineRule="auto"/>
        <w:rPr>
          <w:sz w:val="20"/>
          <w:szCs w:val="20"/>
          <w:color w:val="auto"/>
        </w:rPr>
      </w:pPr>
      <w:r>
        <w:rPr>
          <w:rFonts w:ascii="Arial" w:cs="Arial" w:eastAsia="Arial" w:hAnsi="Arial"/>
          <w:sz w:val="18"/>
          <w:szCs w:val="18"/>
          <w:i w:val="1"/>
          <w:iCs w:val="1"/>
          <w:color w:val="auto"/>
        </w:rPr>
        <w:t>Foster City, California</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21, 2022</w:t>
      </w:r>
    </w:p>
    <w:p>
      <w:pPr>
        <w:sectPr>
          <w:pgSz w:w="11900" w:h="16838" w:orient="portrait"/>
          <w:cols w:equalWidth="0" w:num="1">
            <w:col w:w="10980"/>
          </w:cols>
          <w:pgMar w:left="440" w:top="269" w:right="479" w:bottom="1440" w:gutter="0" w:footer="0" w:header="0"/>
        </w:sectPr>
      </w:pPr>
    </w:p>
    <w:bookmarkStart w:id="2" w:name="page3"/>
    <w:bookmarkEnd w:id="2"/>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78867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Wednesday, June 8, 2022 at 11:00 a.m. Pacific Daylight Time</w:t>
      </w:r>
    </w:p>
    <w:p>
      <w:pPr>
        <w:spacing w:after="0" w:line="194"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8, 2022, at 11:00 a.m. Pacific Daylight Time, and any postponements, adjournments or continuations thereof. The Annual Meeting will be held online at </w:t>
      </w:r>
      <w:r>
        <w:rPr>
          <w:rFonts w:ascii="Arial" w:cs="Arial" w:eastAsia="Arial" w:hAnsi="Arial"/>
          <w:sz w:val="18"/>
          <w:szCs w:val="18"/>
          <w:b w:val="1"/>
          <w:bCs w:val="1"/>
          <w:u w:val="single" w:color="auto"/>
          <w:color w:val="auto"/>
        </w:rPr>
        <w:t>www.virtualshareholdermeeting.com/QLYS2022</w:t>
      </w:r>
      <w:r>
        <w:rPr>
          <w:rFonts w:ascii="Arial" w:cs="Arial" w:eastAsia="Arial" w:hAnsi="Arial"/>
          <w:sz w:val="18"/>
          <w:szCs w:val="18"/>
          <w:color w:val="auto"/>
        </w:rPr>
        <w:t>, where stockholders will be able to listen to the meeting live, vote and submit questions. There will be no physical location for stockholders to attend the meeting.</w:t>
      </w:r>
    </w:p>
    <w:p>
      <w:pPr>
        <w:spacing w:after="0" w:line="176"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On or about April 21, 2022, we expect to mail to our stockholders a Notice of Internet Availability of Proxy Materials (the “Notice”) containing instructions on how to access this proxy statement and our 2021 annual report to stockholders.</w:t>
      </w:r>
    </w:p>
    <w:p>
      <w:pPr>
        <w:spacing w:after="0" w:line="154"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b w:val="1"/>
          <w:bCs w:val="1"/>
          <w:u w:val="single" w:color="auto"/>
          <w:color w:val="auto"/>
        </w:rPr>
        <w:t>www.virtualshareholdermeeting.com/QLYS2022</w:t>
      </w:r>
      <w:r>
        <w:rPr>
          <w:rFonts w:ascii="Arial" w:cs="Arial" w:eastAsia="Arial" w:hAnsi="Arial"/>
          <w:sz w:val="18"/>
          <w:szCs w:val="18"/>
          <w:color w:val="auto"/>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8, 2022. The meeting will begin promptly at 11:00 a.m. Pacific Daylight Time on June 8, 2022. We encourage you to log into the virtual meeting platform and ensure you can hear streaming audio prior to the meeting start time.</w:t>
      </w:r>
    </w:p>
    <w:p>
      <w:pPr>
        <w:spacing w:after="0" w:line="176" w:lineRule="exact"/>
        <w:rPr>
          <w:sz w:val="20"/>
          <w:szCs w:val="20"/>
          <w:color w:val="auto"/>
        </w:rPr>
      </w:pPr>
    </w:p>
    <w:p>
      <w:pPr>
        <w:jc w:val="both"/>
        <w:ind w:right="220" w:firstLine="440"/>
        <w:spacing w:after="0" w:line="253" w:lineRule="auto"/>
        <w:rPr>
          <w:sz w:val="20"/>
          <w:szCs w:val="20"/>
          <w:color w:val="auto"/>
        </w:rPr>
      </w:pPr>
      <w:r>
        <w:rPr>
          <w:rFonts w:ascii="Arial" w:cs="Arial" w:eastAsia="Arial" w:hAnsi="Arial"/>
          <w:sz w:val="18"/>
          <w:szCs w:val="18"/>
          <w:color w:val="auto"/>
        </w:rPr>
        <w:t>The virtual meeting platform is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w:t>
      </w:r>
    </w:p>
    <w:p>
      <w:pPr>
        <w:spacing w:after="0" w:line="169" w:lineRule="exact"/>
        <w:rPr>
          <w:sz w:val="20"/>
          <w:szCs w:val="20"/>
          <w:color w:val="auto"/>
        </w:rPr>
      </w:pPr>
    </w:p>
    <w:p>
      <w:pPr>
        <w:ind w:right="220" w:firstLine="440"/>
        <w:spacing w:after="0" w:line="242" w:lineRule="auto"/>
        <w:rPr>
          <w:sz w:val="20"/>
          <w:szCs w:val="20"/>
          <w:color w:val="auto"/>
        </w:rPr>
      </w:pPr>
      <w:r>
        <w:rPr>
          <w:rFonts w:ascii="Arial" w:cs="Arial" w:eastAsia="Arial" w:hAnsi="Arial"/>
          <w:sz w:val="18"/>
          <w:szCs w:val="18"/>
          <w:color w:val="auto"/>
        </w:rPr>
        <w:t>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 If we receive substantially similar questions, we may group such questions together and provide a single response to avoid repetition.</w:t>
      </w:r>
    </w:p>
    <w:p>
      <w:pPr>
        <w:spacing w:after="0" w:line="179" w:lineRule="exact"/>
        <w:rPr>
          <w:sz w:val="20"/>
          <w:szCs w:val="20"/>
          <w:color w:val="auto"/>
        </w:rPr>
      </w:pPr>
    </w:p>
    <w:p>
      <w:pPr>
        <w:ind w:right="320" w:firstLine="440"/>
        <w:spacing w:after="0" w:line="271" w:lineRule="auto"/>
        <w:rPr>
          <w:sz w:val="20"/>
          <w:szCs w:val="20"/>
          <w:color w:val="auto"/>
        </w:rPr>
      </w:pPr>
      <w:r>
        <w:rPr>
          <w:rFonts w:ascii="Arial" w:cs="Arial" w:eastAsia="Arial" w:hAnsi="Arial"/>
          <w:sz w:val="18"/>
          <w:szCs w:val="18"/>
          <w:color w:val="auto"/>
        </w:rPr>
        <w:t>If you encounter any difficulties accessing the meeting, please call the technical support number that will be posted on the virtual meeting platform’s log in page.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1440" w:right="499" w:bottom="1440" w:gutter="0" w:footer="0" w:header="0"/>
        </w:sectPr>
      </w:pPr>
    </w:p>
    <w:bookmarkStart w:id="3" w:name="page4"/>
    <w:bookmarkEnd w:id="3"/>
    <w:p>
      <w:pPr>
        <w:ind w:right="12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stockholders and members of the public can also access the Annual Meeting at the URL above without a control number, but without the right to vote or submit a question.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2021 annual report to stockholders, primarily via the Internet. On or about April 21, 2022,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960" w:right="24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directors to hold office until the 2025 annual meeting of stockholders or until their successors are duly elected and qualified;</w:t>
      </w:r>
    </w:p>
    <w:p>
      <w:pPr>
        <w:spacing w:after="0" w:line="59" w:lineRule="exact"/>
        <w:rPr>
          <w:rFonts w:ascii="Arial" w:cs="Arial" w:eastAsia="Arial" w:hAnsi="Arial"/>
          <w:sz w:val="18"/>
          <w:szCs w:val="18"/>
          <w:color w:val="auto"/>
        </w:rPr>
      </w:pPr>
    </w:p>
    <w:p>
      <w:pPr>
        <w:ind w:left="960" w:right="10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2022;</w:t>
      </w:r>
    </w:p>
    <w:p>
      <w:pPr>
        <w:spacing w:after="0" w:line="59"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our 2012 Equity Incentive Plan, as amended, restated and extended;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recommends a vote:</w:t>
      </w:r>
    </w:p>
    <w:p>
      <w:pPr>
        <w:spacing w:after="0" w:line="117"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named in this proxy statement for election as Class I directors;</w:t>
      </w:r>
    </w:p>
    <w:p>
      <w:pPr>
        <w:spacing w:after="0" w:line="117" w:lineRule="exact"/>
        <w:rPr>
          <w:rFonts w:ascii="Arial" w:cs="Arial" w:eastAsia="Arial" w:hAnsi="Arial"/>
          <w:sz w:val="18"/>
          <w:szCs w:val="18"/>
          <w:color w:val="auto"/>
        </w:rPr>
      </w:pPr>
    </w:p>
    <w:p>
      <w:pPr>
        <w:ind w:left="960" w:right="30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Grant Thornton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2022;</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compensation of our named executive officers as described in this proxy statement;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our 2012 Equity Incentive Plan, as amended, restated and extended.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04"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Holders of our common stock as of the close of business on April 11, 2022, the record date, may vote at the Annual Meeting. As of the record date, we had 38,860,012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made available for the examination of any stockholder for any purpose germane to the meeting for ten days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4" w:name="page5"/>
    <w:bookmarkEnd w:id="4"/>
    <w:p>
      <w:pPr>
        <w:ind w:right="40"/>
        <w:spacing w:after="0" w:line="28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Annual Meeting by email request to ir@qualys.com. The list will also be available for examination online during the meeting at </w:t>
      </w:r>
      <w:r>
        <w:rPr>
          <w:rFonts w:ascii="Arial" w:cs="Arial" w:eastAsia="Arial" w:hAnsi="Arial"/>
          <w:sz w:val="18"/>
          <w:szCs w:val="18"/>
          <w:b w:val="1"/>
          <w:bCs w:val="1"/>
          <w:u w:val="single" w:color="auto"/>
          <w:color w:val="auto"/>
        </w:rPr>
        <w:t>www.virtualshareholdermeeting.com/QLYS2022</w:t>
      </w:r>
      <w:r>
        <w:rPr>
          <w:rFonts w:ascii="Arial" w:cs="Arial" w:eastAsia="Arial" w:hAnsi="Arial"/>
          <w:sz w:val="18"/>
          <w:szCs w:val="18"/>
          <w:color w:val="auto"/>
        </w:rPr>
        <w:t>.</w:t>
      </w:r>
    </w:p>
    <w:p>
      <w:pPr>
        <w:spacing w:after="0" w:line="136" w:lineRule="exact"/>
        <w:rPr>
          <w:sz w:val="20"/>
          <w:szCs w:val="20"/>
          <w:color w:val="auto"/>
        </w:rPr>
      </w:pPr>
    </w:p>
    <w:p>
      <w:pPr>
        <w:ind w:right="240" w:firstLine="440"/>
        <w:spacing w:after="0" w:line="253"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w:t>
      </w:r>
    </w:p>
    <w:p>
      <w:pPr>
        <w:spacing w:after="0" w:line="169" w:lineRule="exact"/>
        <w:rPr>
          <w:sz w:val="20"/>
          <w:szCs w:val="20"/>
          <w:color w:val="auto"/>
        </w:rPr>
      </w:pPr>
    </w:p>
    <w:p>
      <w:pPr>
        <w:ind w:right="20" w:firstLine="440"/>
        <w:spacing w:after="0"/>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there are several ways for you to vote your shares:</w:t>
      </w:r>
    </w:p>
    <w:p>
      <w:pPr>
        <w:spacing w:after="0" w:line="117" w:lineRule="exact"/>
        <w:rPr>
          <w:sz w:val="20"/>
          <w:szCs w:val="20"/>
          <w:color w:val="auto"/>
        </w:rPr>
      </w:pPr>
    </w:p>
    <w:p>
      <w:pPr>
        <w:ind w:left="960" w:right="8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Via the Internet—Before the Annual Meeting</w:t>
      </w:r>
      <w:r>
        <w:rPr>
          <w:rFonts w:ascii="Arial" w:cs="Arial" w:eastAsia="Arial" w:hAnsi="Arial"/>
          <w:sz w:val="18"/>
          <w:szCs w:val="18"/>
          <w:color w:val="auto"/>
        </w:rPr>
        <w:t>. 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7, 2022.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jc w:val="both"/>
        <w:ind w:left="960" w:right="2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Via the Internet—During the Annual Meeting</w:t>
      </w:r>
      <w:r>
        <w:rPr>
          <w:rFonts w:ascii="Arial" w:cs="Arial" w:eastAsia="Arial" w:hAnsi="Arial"/>
          <w:sz w:val="18"/>
          <w:szCs w:val="18"/>
          <w:color w:val="auto"/>
        </w:rPr>
        <w:t>. You may vote live at the Annual Meeting through the virtual meeting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logging into </w:t>
      </w:r>
      <w:r>
        <w:rPr>
          <w:rFonts w:ascii="Arial" w:cs="Arial" w:eastAsia="Arial" w:hAnsi="Arial"/>
          <w:sz w:val="18"/>
          <w:szCs w:val="18"/>
          <w:b w:val="1"/>
          <w:bCs w:val="1"/>
          <w:u w:val="single" w:color="auto"/>
          <w:color w:val="auto"/>
        </w:rPr>
        <w:t>www.virtualshareholdermeeting.com/QLYS2022</w:t>
      </w:r>
      <w:r>
        <w:rPr>
          <w:rFonts w:ascii="Arial" w:cs="Arial" w:eastAsia="Arial" w:hAnsi="Arial"/>
          <w:sz w:val="18"/>
          <w:szCs w:val="18"/>
          <w:color w:val="auto"/>
        </w:rPr>
        <w:t>.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16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using a touch-tone telephone by calling 1-800-690-6903,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7, 2022.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printed proxy materials, you may submit your vote by completing, signing and dating each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and returning it in the prepaid envelope. Sign your name exactly as it appears on the proxy card. Proxy cards submitted by mail must be received no later than June 7, 2022, to be voted at the Annual Meeting.</w:t>
      </w:r>
    </w:p>
    <w:p>
      <w:pPr>
        <w:spacing w:after="0" w:line="169"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should have received a Notice or voting instructions from the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change your vote or revoke your proxy any time before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99" w:lineRule="exact"/>
        <w:rPr>
          <w:sz w:val="20"/>
          <w:szCs w:val="20"/>
          <w:color w:val="auto"/>
        </w:rPr>
      </w:pPr>
    </w:p>
    <w:p>
      <w:pPr>
        <w:ind w:left="960" w:right="160" w:hanging="424"/>
        <w:spacing w:after="0" w:line="27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by Internet or by telephone (only your latest Internet or telephone proxy received by 11:59 p.m. Eastern Daylight Time on June 7, 2022, will be counted);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69" w:right="519" w:bottom="1440" w:gutter="0" w:footer="0" w:header="0"/>
        </w:sectPr>
      </w:pPr>
    </w:p>
    <w:bookmarkStart w:id="5" w:name="page6"/>
    <w:bookmarkEnd w:id="5"/>
    <w:p>
      <w:pPr>
        <w:ind w:left="960" w:right="360" w:hanging="424"/>
        <w:spacing w:after="0" w:line="27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signing and returning a new proxy card with a later date to Qualys, Inc., Attention: Corporate Secretary, 919 East Hillsdale Blvd.,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to be received no later than June 7, 2022;</w:t>
      </w:r>
    </w:p>
    <w:p>
      <w:pPr>
        <w:spacing w:after="0" w:line="59" w:lineRule="exact"/>
        <w:rPr>
          <w:rFonts w:ascii="Arial" w:cs="Arial" w:eastAsia="Arial" w:hAnsi="Arial"/>
          <w:sz w:val="18"/>
          <w:szCs w:val="18"/>
          <w:color w:val="auto"/>
        </w:rPr>
      </w:pPr>
    </w:p>
    <w:p>
      <w:pPr>
        <w:ind w:left="960" w:right="160" w:hanging="424"/>
        <w:spacing w:after="0" w:line="27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a written revocation to Qualys, Inc., Attention: Corporate Secretary, 919 East Hillsdale Blvd.,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to be received no later than June 7, 2022; or</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again.</w:t>
      </w:r>
    </w:p>
    <w:p>
      <w:pPr>
        <w:spacing w:after="0" w:line="21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must contact the broker or other nominee holding your shares and follow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for changing your vote or revoking your proxy.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04"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A quorum is the minimum number of shares required to be present at a meeting of stockholders for action to be taken at the meeting. Under our bylaws, the presence, live or represented by proxy (including any abstentions and “broker non-votes”), of a majority of all issued and outstanding shares of common stock entitled to vote at the Annual Meeting will constitute a quorum at the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04"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When a broker, bank or other nominee votes a client’s shares on some but not all of the proposals, the missing votes are referred to as “broker non-votes.” If you are a beneficial owner and do not provide timely voting instructions to your bank, broker or other nominee, that organization will have discretion to vote your shares on our sole “routine” matter—Proposal No. 2 to ratify the appointment of Grant Thornton LLP. The election of directors, the advisory vote to approve executive compensation and the proposal to approve our 2012 Equity Incentive Plan, as amended, restated and extended are non-discretionary items and may not be voted on by brokers, banks or other nominees who have not received specific voting instructions from beneficial owners. Therefore, broker non-votes may exist in connection with Proposals No. 1, No. 3 and No. 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17" w:lineRule="exact"/>
        <w:rPr>
          <w:sz w:val="20"/>
          <w:szCs w:val="20"/>
          <w:color w:val="auto"/>
        </w:rPr>
      </w:pPr>
    </w:p>
    <w:p>
      <w:pPr>
        <w:ind w:left="960" w:hanging="424"/>
        <w:spacing w:after="0" w:line="244"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6" w:name="page7"/>
    <w:bookmarkEnd w:id="6"/>
    <w:p>
      <w:pPr>
        <w:ind w:left="960" w:right="20" w:hanging="424"/>
        <w:spacing w:after="0" w:line="24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Proposal No. 2: </w:t>
      </w:r>
      <w:r>
        <w:rPr>
          <w:rFonts w:ascii="Arial" w:cs="Arial" w:eastAsia="Arial" w:hAnsi="Arial"/>
          <w:sz w:val="18"/>
          <w:szCs w:val="18"/>
          <w:color w:val="auto"/>
        </w:rPr>
        <w:t>The ratification of the appointment of Grant Thornton LLP must receive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79" w:lineRule="exact"/>
        <w:rPr>
          <w:rFonts w:ascii="Arial" w:cs="Arial" w:eastAsia="Arial" w:hAnsi="Arial"/>
          <w:sz w:val="18"/>
          <w:szCs w:val="18"/>
          <w:color w:val="auto"/>
        </w:rPr>
      </w:pPr>
    </w:p>
    <w:p>
      <w:pPr>
        <w:jc w:val="both"/>
        <w:ind w:left="960" w:right="60" w:hanging="424"/>
        <w:spacing w:after="0" w:line="241"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 of our named executive officers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proxy statement must receive the affirmative vote of a majority of the shares present in person or by proxy at the meeting and entitled to vote thereon to be approved. You may vote “for,” “against” or “abstain” on this proposal.</w:t>
      </w:r>
    </w:p>
    <w:p>
      <w:pPr>
        <w:spacing w:after="0" w:line="1" w:lineRule="exact"/>
        <w:rPr>
          <w:rFonts w:ascii="Arial" w:cs="Arial" w:eastAsia="Arial" w:hAnsi="Arial"/>
          <w:sz w:val="18"/>
          <w:szCs w:val="18"/>
          <w:color w:val="auto"/>
        </w:rPr>
      </w:pPr>
    </w:p>
    <w:p>
      <w:pPr>
        <w:ind w:left="960" w:right="80"/>
        <w:spacing w:after="0" w:line="242" w:lineRule="auto"/>
        <w:rPr>
          <w:rFonts w:ascii="Arial" w:cs="Arial" w:eastAsia="Arial" w:hAnsi="Arial"/>
          <w:sz w:val="18"/>
          <w:szCs w:val="18"/>
          <w:color w:val="auto"/>
        </w:rPr>
      </w:pPr>
      <w:r>
        <w:rPr>
          <w:rFonts w:ascii="Arial" w:cs="Arial" w:eastAsia="Arial" w:hAnsi="Arial"/>
          <w:sz w:val="18"/>
          <w:szCs w:val="18"/>
          <w:color w:val="auto"/>
        </w:rPr>
        <w:t>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84"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The approval of our 2012 Equity Incentive Plan, as amended, restated and extended must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shares present in person or by proxy at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 If stockholders do not approve Proposal No. 4, then our 2012 Equity Incentive Plan, as amended, restated and extended will not become effective.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04" w:lineRule="exact"/>
        <w:rPr>
          <w:sz w:val="20"/>
          <w:szCs w:val="20"/>
          <w:color w:val="auto"/>
        </w:rPr>
      </w:pPr>
    </w:p>
    <w:p>
      <w:pPr>
        <w:jc w:val="both"/>
        <w:ind w:right="180" w:firstLine="440"/>
        <w:spacing w:after="0" w:line="253"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04" w:lineRule="exact"/>
        <w:rPr>
          <w:sz w:val="20"/>
          <w:szCs w:val="20"/>
          <w:color w:val="auto"/>
        </w:rPr>
      </w:pPr>
    </w:p>
    <w:p>
      <w:pPr>
        <w:jc w:val="both"/>
        <w:ind w:right="320" w:firstLine="44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right="80" w:firstLine="440"/>
        <w:spacing w:after="0" w:line="24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8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8" w:lineRule="exact"/>
        <w:rPr>
          <w:sz w:val="20"/>
          <w:szCs w:val="20"/>
          <w:color w:val="auto"/>
        </w:rPr>
      </w:pPr>
    </w:p>
    <w:p>
      <w:pPr>
        <w:ind w:right="180" w:firstLine="440"/>
        <w:spacing w:after="0" w:line="247"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7" w:name="page8"/>
    <w:bookmarkEnd w:id="7"/>
    <w:p>
      <w:pPr>
        <w:ind w:left="4"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7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Qualys, Inc.</w:t>
      </w:r>
    </w:p>
    <w:p>
      <w:pPr>
        <w:spacing w:after="0" w:line="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Attention: Investor Relations</w:t>
      </w:r>
    </w:p>
    <w:p>
      <w:pPr>
        <w:jc w:val="center"/>
        <w:ind w:right="-23"/>
        <w:spacing w:after="0" w:line="237"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23"/>
        <w:spacing w:after="0" w:line="235" w:lineRule="auto"/>
        <w:rPr>
          <w:sz w:val="20"/>
          <w:szCs w:val="20"/>
          <w:color w:val="auto"/>
        </w:rPr>
      </w:pPr>
      <w:r>
        <w:rPr>
          <w:rFonts w:ascii="Arial" w:cs="Arial" w:eastAsia="Arial" w:hAnsi="Arial"/>
          <w:sz w:val="18"/>
          <w:szCs w:val="18"/>
          <w:color w:val="auto"/>
        </w:rPr>
        <w:t>Foster City, California 94404</w:t>
      </w:r>
    </w:p>
    <w:p>
      <w:pPr>
        <w:jc w:val="both"/>
        <w:ind w:left="4904" w:right="4860" w:hanging="11"/>
        <w:spacing w:after="0" w:line="250" w:lineRule="auto"/>
        <w:tabs>
          <w:tab w:leader="none" w:pos="5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801-6100 ir@qualys.com</w:t>
      </w:r>
    </w:p>
    <w:p>
      <w:pPr>
        <w:spacing w:after="0" w:line="172" w:lineRule="exact"/>
        <w:rPr>
          <w:sz w:val="20"/>
          <w:szCs w:val="20"/>
          <w:color w:val="auto"/>
        </w:rPr>
      </w:pPr>
    </w:p>
    <w:p>
      <w:pPr>
        <w:ind w:left="4" w:right="200" w:firstLine="440"/>
        <w:spacing w:after="0" w:line="27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62" w:lineRule="exact"/>
        <w:rPr>
          <w:sz w:val="20"/>
          <w:szCs w:val="20"/>
          <w:color w:val="auto"/>
        </w:rPr>
      </w:pPr>
    </w:p>
    <w:p>
      <w:pPr>
        <w:ind w:left="4" w:right="800"/>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Stockholder Proposals</w:t>
      </w:r>
    </w:p>
    <w:p>
      <w:pPr>
        <w:spacing w:after="0" w:line="102" w:lineRule="exact"/>
        <w:rPr>
          <w:sz w:val="20"/>
          <w:szCs w:val="20"/>
          <w:color w:val="auto"/>
        </w:rPr>
      </w:pPr>
    </w:p>
    <w:p>
      <w:pPr>
        <w:ind w:left="4" w:right="120" w:firstLine="440"/>
        <w:spacing w:after="0" w:line="24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2023 annual meeting of stockholders, our Corporate Secretary must receive the written proposal at our principal executive offices not later than December 22, 2022. In addition, stockholder proposals must comply with the requirements of Rule 14a-8 under the Securities Exchange Act of 1934, as amended (the “Exchange Act”) regarding the inclusion of stockholder proposals in company-sponsored proxy materials. Proposals should be addressed to:</w:t>
      </w:r>
    </w:p>
    <w:p>
      <w:pPr>
        <w:spacing w:after="0" w:line="1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Qualys, Inc.</w:t>
      </w:r>
    </w:p>
    <w:p>
      <w:pPr>
        <w:spacing w:after="0" w:line="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Attention: Corporate Secretary</w:t>
      </w:r>
    </w:p>
    <w:p>
      <w:pPr>
        <w:jc w:val="center"/>
        <w:ind w:right="-23"/>
        <w:spacing w:after="0" w:line="237"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Foster City, California 94404</w:t>
      </w:r>
    </w:p>
    <w:p>
      <w:pPr>
        <w:spacing w:after="0" w:line="194" w:lineRule="exact"/>
        <w:rPr>
          <w:sz w:val="20"/>
          <w:szCs w:val="20"/>
          <w:color w:val="auto"/>
        </w:rPr>
      </w:pPr>
    </w:p>
    <w:p>
      <w:pPr>
        <w:ind w:left="4" w:firstLine="440"/>
        <w:spacing w:after="0" w:line="241"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w:t>
      </w:r>
    </w:p>
    <w:p>
      <w:pPr>
        <w:spacing w:after="0" w:line="2" w:lineRule="exact"/>
        <w:rPr>
          <w:sz w:val="20"/>
          <w:szCs w:val="20"/>
          <w:color w:val="auto"/>
        </w:rPr>
      </w:pPr>
    </w:p>
    <w:p>
      <w:pPr>
        <w:jc w:val="both"/>
        <w:ind w:left="4" w:hanging="4"/>
        <w:spacing w:after="0" w:line="239"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2023 annual meeting of stockholders, our Corporate Secretary must receive the written notice at our principal executive offices:</w:t>
      </w:r>
    </w:p>
    <w:p>
      <w:pPr>
        <w:spacing w:after="0" w:line="85"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earlier than February 5, 2023;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7, 2023.</w:t>
      </w:r>
    </w:p>
    <w:p>
      <w:pPr>
        <w:spacing w:after="0" w:line="212" w:lineRule="exact"/>
        <w:rPr>
          <w:sz w:val="20"/>
          <w:szCs w:val="20"/>
          <w:color w:val="auto"/>
        </w:rPr>
      </w:pPr>
    </w:p>
    <w:p>
      <w:pPr>
        <w:ind w:left="4" w:right="720" w:firstLine="440"/>
        <w:spacing w:after="0" w:line="271" w:lineRule="auto"/>
        <w:rPr>
          <w:sz w:val="20"/>
          <w:szCs w:val="20"/>
          <w:color w:val="auto"/>
        </w:rPr>
      </w:pPr>
      <w:r>
        <w:rPr>
          <w:rFonts w:ascii="Arial" w:cs="Arial" w:eastAsia="Arial" w:hAnsi="Arial"/>
          <w:sz w:val="18"/>
          <w:szCs w:val="18"/>
          <w:color w:val="auto"/>
        </w:rPr>
        <w:t>In the event that we hold our 2023 annual meeting of stockholders more than 30 days before or more than 60 days after the one-year anniversary of the date of the Annual Meeting, then notice of a</w:t>
      </w:r>
    </w:p>
    <w:p>
      <w:pPr>
        <w:spacing w:after="0" w:line="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69" w:right="479" w:bottom="1440" w:gutter="0" w:footer="0" w:header="0"/>
        </w:sectPr>
      </w:pPr>
    </w:p>
    <w:bookmarkStart w:id="8" w:name="page9"/>
    <w:bookmarkEnd w:id="8"/>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59" w:lineRule="exact"/>
        <w:rPr>
          <w:sz w:val="20"/>
          <w:szCs w:val="20"/>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12"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02" w:lineRule="exact"/>
        <w:rPr>
          <w:sz w:val="20"/>
          <w:szCs w:val="20"/>
          <w:color w:val="auto"/>
        </w:rPr>
      </w:pPr>
    </w:p>
    <w:p>
      <w:pPr>
        <w:ind w:right="220" w:firstLine="440"/>
        <w:spacing w:after="0" w:line="244" w:lineRule="auto"/>
        <w:rPr>
          <w:sz w:val="20"/>
          <w:szCs w:val="20"/>
          <w:color w:val="auto"/>
        </w:rPr>
      </w:pPr>
      <w:r>
        <w:rPr>
          <w:rFonts w:ascii="Arial" w:cs="Arial" w:eastAsia="Arial" w:hAnsi="Arial"/>
          <w:sz w:val="18"/>
          <w:szCs w:val="18"/>
          <w:color w:val="auto"/>
        </w:rPr>
        <w:t>Stockholders may propose director candidates for consideration by the Nominating and ESG Committee of our board of directors.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the section entitled “</w:t>
      </w:r>
      <w:r>
        <w:rPr>
          <w:rFonts w:ascii="Arial" w:cs="Arial" w:eastAsia="Arial" w:hAnsi="Arial"/>
          <w:sz w:val="18"/>
          <w:szCs w:val="18"/>
          <w:i w:val="1"/>
          <w:iCs w:val="1"/>
          <w:color w:val="auto"/>
        </w:rPr>
        <w:t>Board of Directors and Corporate Governance—Stockholder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Recommendations for Nominations to the Board of Directors</w:t>
      </w:r>
      <w:r>
        <w:rPr>
          <w:rFonts w:ascii="Arial" w:cs="Arial" w:eastAsia="Arial" w:hAnsi="Arial"/>
          <w:sz w:val="18"/>
          <w:szCs w:val="18"/>
          <w:color w:val="auto"/>
        </w:rPr>
        <w:t>” below.</w:t>
      </w:r>
    </w:p>
    <w:p>
      <w:pPr>
        <w:spacing w:after="0" w:line="176"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 w:cs="Arial" w:eastAsia="Arial" w:hAnsi="Arial"/>
          <w:sz w:val="18"/>
          <w:szCs w:val="18"/>
          <w:i w:val="1"/>
          <w:iCs w:val="1"/>
          <w:color w:val="auto"/>
        </w:rPr>
        <w:t>Stockholder Proposals</w:t>
      </w:r>
      <w:r>
        <w:rPr>
          <w:rFonts w:ascii="Arial" w:cs="Arial" w:eastAsia="Arial" w:hAnsi="Arial"/>
          <w:sz w:val="18"/>
          <w:szCs w:val="18"/>
          <w:color w:val="auto"/>
        </w:rPr>
        <w:t>” for stockholder proposals that are not intended to be included in our proxy statement.</w:t>
      </w:r>
    </w:p>
    <w:p>
      <w:pPr>
        <w:spacing w:after="0" w:line="176" w:lineRule="exact"/>
        <w:rPr>
          <w:sz w:val="20"/>
          <w:szCs w:val="20"/>
          <w:color w:val="auto"/>
        </w:rPr>
      </w:pPr>
    </w:p>
    <w:p>
      <w:pPr>
        <w:ind w:right="520" w:firstLine="440"/>
        <w:spacing w:after="0" w:line="275" w:lineRule="auto"/>
        <w:rPr>
          <w:sz w:val="20"/>
          <w:szCs w:val="20"/>
          <w:color w:val="auto"/>
        </w:rPr>
      </w:pPr>
      <w:r>
        <w:rPr>
          <w:rFonts w:ascii="Arial" w:cs="Arial" w:eastAsia="Arial" w:hAnsi="Arial"/>
          <w:sz w:val="17"/>
          <w:szCs w:val="17"/>
          <w:color w:val="auto"/>
        </w:rPr>
        <w:t>In addition to satisfying the foregoing requirements under our bylaws, to comply with the universal proxy rules (once effective), stockholders who intend to solicit proxies in support of director nominees other than Qualys’ nominees must provide notice to our Corporate Secretary that sets forth the information required by Rule 14a-19 under the Exchange Act no later than April 9,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0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69"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OF DIRECTORS AND CORPORATE GOVERNANCE</w:t>
      </w:r>
    </w:p>
    <w:p>
      <w:pPr>
        <w:spacing w:after="0" w:line="21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business affairs are managed under the direction of our board of directors, which is currently composed of eight members, seven of whom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3740" w:type="dxa"/>
            <w:vAlign w:val="bottom"/>
            <w:shd w:val="clear" w:color="auto" w:fill="FF0C07"/>
          </w:tcPr>
          <w:p>
            <w:pPr>
              <w:jc w:val="center"/>
              <w:spacing w:after="0"/>
              <w:rPr>
                <w:sz w:val="20"/>
                <w:szCs w:val="20"/>
                <w:color w:val="auto"/>
              </w:rPr>
            </w:pPr>
            <w:r>
              <w:rPr>
                <w:rFonts w:ascii="Arial" w:cs="Arial" w:eastAsia="Arial" w:hAnsi="Arial"/>
                <w:sz w:val="16"/>
                <w:szCs w:val="16"/>
                <w:b w:val="1"/>
                <w:bCs w:val="1"/>
                <w:color w:val="FFFFFF"/>
              </w:rPr>
              <w:t>Class I Directors</w:t>
            </w:r>
          </w:p>
        </w:tc>
        <w:tc>
          <w:tcPr>
            <w:tcW w:w="320" w:type="dxa"/>
            <w:vAlign w:val="bottom"/>
          </w:tcPr>
          <w:p>
            <w:pPr>
              <w:spacing w:after="0"/>
              <w:rPr>
                <w:sz w:val="24"/>
                <w:szCs w:val="24"/>
                <w:color w:val="auto"/>
              </w:rPr>
            </w:pPr>
          </w:p>
        </w:tc>
        <w:tc>
          <w:tcPr>
            <w:tcW w:w="3300" w:type="dxa"/>
            <w:vAlign w:val="bottom"/>
            <w:shd w:val="clear" w:color="auto" w:fill="FF0C07"/>
          </w:tcPr>
          <w:p>
            <w:pPr>
              <w:jc w:val="center"/>
              <w:ind w:left="55"/>
              <w:spacing w:after="0"/>
              <w:rPr>
                <w:sz w:val="20"/>
                <w:szCs w:val="20"/>
                <w:color w:val="auto"/>
              </w:rPr>
            </w:pPr>
            <w:r>
              <w:rPr>
                <w:rFonts w:ascii="Arial" w:cs="Arial" w:eastAsia="Arial" w:hAnsi="Arial"/>
                <w:sz w:val="16"/>
                <w:szCs w:val="16"/>
                <w:b w:val="1"/>
                <w:bCs w:val="1"/>
                <w:color w:val="FFFFFF"/>
              </w:rPr>
              <w:t>Class II Directors</w:t>
            </w:r>
          </w:p>
        </w:tc>
        <w:tc>
          <w:tcPr>
            <w:tcW w:w="340" w:type="dxa"/>
            <w:vAlign w:val="bottom"/>
          </w:tcPr>
          <w:p>
            <w:pPr>
              <w:spacing w:after="0"/>
              <w:rPr>
                <w:sz w:val="24"/>
                <w:szCs w:val="24"/>
                <w:color w:val="auto"/>
              </w:rPr>
            </w:pPr>
          </w:p>
        </w:tc>
        <w:tc>
          <w:tcPr>
            <w:tcW w:w="3320" w:type="dxa"/>
            <w:vAlign w:val="bottom"/>
            <w:shd w:val="clear" w:color="auto" w:fill="FF0C07"/>
          </w:tcPr>
          <w:p>
            <w:pPr>
              <w:jc w:val="center"/>
              <w:ind w:left="35"/>
              <w:spacing w:after="0"/>
              <w:rPr>
                <w:sz w:val="20"/>
                <w:szCs w:val="20"/>
                <w:color w:val="auto"/>
              </w:rPr>
            </w:pPr>
            <w:r>
              <w:rPr>
                <w:rFonts w:ascii="Arial" w:cs="Arial" w:eastAsia="Arial" w:hAnsi="Arial"/>
                <w:sz w:val="16"/>
                <w:szCs w:val="16"/>
                <w:b w:val="1"/>
                <w:bCs w:val="1"/>
                <w:color w:val="FFFFFF"/>
              </w:rPr>
              <w:t>Class III Directors</w:t>
            </w:r>
          </w:p>
        </w:tc>
        <w:tc>
          <w:tcPr>
            <w:tcW w:w="0" w:type="dxa"/>
            <w:vAlign w:val="bottom"/>
          </w:tcPr>
          <w:p>
            <w:pPr>
              <w:spacing w:after="0"/>
              <w:rPr>
                <w:sz w:val="1"/>
                <w:szCs w:val="1"/>
                <w:color w:val="auto"/>
              </w:rPr>
            </w:pPr>
          </w:p>
        </w:tc>
      </w:tr>
      <w:tr>
        <w:trPr>
          <w:trHeight w:val="190"/>
        </w:trPr>
        <w:tc>
          <w:tcPr>
            <w:tcW w:w="3740" w:type="dxa"/>
            <w:vAlign w:val="bottom"/>
            <w:shd w:val="clear" w:color="auto" w:fill="FF0C07"/>
          </w:tcPr>
          <w:p>
            <w:pPr>
              <w:jc w:val="center"/>
              <w:spacing w:after="0"/>
              <w:rPr>
                <w:sz w:val="20"/>
                <w:szCs w:val="20"/>
                <w:color w:val="auto"/>
              </w:rPr>
            </w:pPr>
            <w:r>
              <w:rPr>
                <w:rFonts w:ascii="Arial" w:cs="Arial" w:eastAsia="Arial" w:hAnsi="Arial"/>
                <w:sz w:val="14"/>
                <w:szCs w:val="14"/>
                <w:color w:val="FFFFFF"/>
              </w:rPr>
              <w:t>(Term Expires at Annual Meeting)</w:t>
            </w:r>
          </w:p>
        </w:tc>
        <w:tc>
          <w:tcPr>
            <w:tcW w:w="320" w:type="dxa"/>
            <w:vAlign w:val="bottom"/>
          </w:tcPr>
          <w:p>
            <w:pPr>
              <w:spacing w:after="0"/>
              <w:rPr>
                <w:sz w:val="16"/>
                <w:szCs w:val="16"/>
                <w:color w:val="auto"/>
              </w:rPr>
            </w:pPr>
          </w:p>
        </w:tc>
        <w:tc>
          <w:tcPr>
            <w:tcW w:w="3300" w:type="dxa"/>
            <w:vAlign w:val="bottom"/>
            <w:shd w:val="clear" w:color="auto" w:fill="FF0C07"/>
          </w:tcPr>
          <w:p>
            <w:pPr>
              <w:jc w:val="center"/>
              <w:ind w:left="55"/>
              <w:spacing w:after="0"/>
              <w:rPr>
                <w:sz w:val="20"/>
                <w:szCs w:val="20"/>
                <w:color w:val="auto"/>
              </w:rPr>
            </w:pPr>
            <w:r>
              <w:rPr>
                <w:rFonts w:ascii="Arial" w:cs="Arial" w:eastAsia="Arial" w:hAnsi="Arial"/>
                <w:sz w:val="14"/>
                <w:szCs w:val="14"/>
                <w:color w:val="FFFFFF"/>
              </w:rPr>
              <w:t>(Term Expires in 2023)</w:t>
            </w:r>
          </w:p>
        </w:tc>
        <w:tc>
          <w:tcPr>
            <w:tcW w:w="340" w:type="dxa"/>
            <w:vAlign w:val="bottom"/>
          </w:tcPr>
          <w:p>
            <w:pPr>
              <w:spacing w:after="0"/>
              <w:rPr>
                <w:sz w:val="16"/>
                <w:szCs w:val="16"/>
                <w:color w:val="auto"/>
              </w:rPr>
            </w:pPr>
          </w:p>
        </w:tc>
        <w:tc>
          <w:tcPr>
            <w:tcW w:w="3320" w:type="dxa"/>
            <w:vAlign w:val="bottom"/>
            <w:shd w:val="clear" w:color="auto" w:fill="FF0C07"/>
          </w:tcPr>
          <w:p>
            <w:pPr>
              <w:jc w:val="center"/>
              <w:ind w:left="35"/>
              <w:spacing w:after="0"/>
              <w:rPr>
                <w:sz w:val="20"/>
                <w:szCs w:val="20"/>
                <w:color w:val="auto"/>
              </w:rPr>
            </w:pPr>
            <w:r>
              <w:rPr>
                <w:rFonts w:ascii="Arial" w:cs="Arial" w:eastAsia="Arial" w:hAnsi="Arial"/>
                <w:sz w:val="14"/>
                <w:szCs w:val="14"/>
                <w:color w:val="FFFFFF"/>
              </w:rPr>
              <w:t>(Term Expires in 2024)</w:t>
            </w:r>
          </w:p>
        </w:tc>
        <w:tc>
          <w:tcPr>
            <w:tcW w:w="0" w:type="dxa"/>
            <w:vAlign w:val="bottom"/>
          </w:tcPr>
          <w:p>
            <w:pPr>
              <w:spacing w:after="0"/>
              <w:rPr>
                <w:sz w:val="1"/>
                <w:szCs w:val="1"/>
                <w:color w:val="auto"/>
              </w:rPr>
            </w:pPr>
          </w:p>
        </w:tc>
      </w:tr>
      <w:tr>
        <w:trPr>
          <w:trHeight w:val="76"/>
        </w:trPr>
        <w:tc>
          <w:tcPr>
            <w:tcW w:w="3740" w:type="dxa"/>
            <w:vAlign w:val="bottom"/>
            <w:shd w:val="clear" w:color="auto" w:fill="FF0C07"/>
          </w:tcPr>
          <w:p>
            <w:pPr>
              <w:spacing w:after="0"/>
              <w:rPr>
                <w:sz w:val="6"/>
                <w:szCs w:val="6"/>
                <w:color w:val="auto"/>
              </w:rPr>
            </w:pPr>
          </w:p>
        </w:tc>
        <w:tc>
          <w:tcPr>
            <w:tcW w:w="320" w:type="dxa"/>
            <w:vAlign w:val="bottom"/>
            <w:vMerge w:val="restart"/>
          </w:tcPr>
          <w:p>
            <w:pPr>
              <w:spacing w:after="0"/>
              <w:rPr>
                <w:sz w:val="6"/>
                <w:szCs w:val="6"/>
                <w:color w:val="auto"/>
              </w:rPr>
            </w:pPr>
          </w:p>
        </w:tc>
        <w:tc>
          <w:tcPr>
            <w:tcW w:w="3300" w:type="dxa"/>
            <w:vAlign w:val="bottom"/>
            <w:shd w:val="clear" w:color="auto" w:fill="FF0C07"/>
          </w:tcPr>
          <w:p>
            <w:pPr>
              <w:spacing w:after="0"/>
              <w:rPr>
                <w:sz w:val="6"/>
                <w:szCs w:val="6"/>
                <w:color w:val="auto"/>
              </w:rPr>
            </w:pPr>
          </w:p>
        </w:tc>
        <w:tc>
          <w:tcPr>
            <w:tcW w:w="340" w:type="dxa"/>
            <w:vAlign w:val="bottom"/>
            <w:vMerge w:val="restart"/>
          </w:tcPr>
          <w:p>
            <w:pPr>
              <w:spacing w:after="0"/>
              <w:rPr>
                <w:sz w:val="6"/>
                <w:szCs w:val="6"/>
                <w:color w:val="auto"/>
              </w:rPr>
            </w:pPr>
          </w:p>
        </w:tc>
        <w:tc>
          <w:tcPr>
            <w:tcW w:w="3320" w:type="dxa"/>
            <w:vAlign w:val="bottom"/>
            <w:shd w:val="clear" w:color="auto" w:fill="FF0C07"/>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740" w:type="dxa"/>
            <w:vAlign w:val="bottom"/>
          </w:tcPr>
          <w:p>
            <w:pPr>
              <w:jc w:val="center"/>
              <w:spacing w:after="0"/>
              <w:rPr>
                <w:sz w:val="20"/>
                <w:szCs w:val="20"/>
                <w:color w:val="auto"/>
              </w:rPr>
            </w:pPr>
            <w:r>
              <w:rPr>
                <w:rFonts w:ascii="Arial" w:cs="Arial" w:eastAsia="Arial" w:hAnsi="Arial"/>
                <w:sz w:val="18"/>
                <w:szCs w:val="18"/>
                <w:color w:val="auto"/>
                <w:w w:val="99"/>
              </w:rPr>
              <w:t>Sandra E. Bergeron</w:t>
            </w:r>
          </w:p>
        </w:tc>
        <w:tc>
          <w:tcPr>
            <w:tcW w:w="320" w:type="dxa"/>
            <w:vAlign w:val="bottom"/>
            <w:vMerge w:val="continue"/>
          </w:tcPr>
          <w:p>
            <w:pPr>
              <w:spacing w:after="0"/>
              <w:rPr>
                <w:sz w:val="20"/>
                <w:szCs w:val="20"/>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General Peter Pace</w:t>
            </w:r>
          </w:p>
        </w:tc>
        <w:tc>
          <w:tcPr>
            <w:tcW w:w="340" w:type="dxa"/>
            <w:vAlign w:val="bottom"/>
            <w:vMerge w:val="continue"/>
          </w:tcPr>
          <w:p>
            <w:pPr>
              <w:spacing w:after="0"/>
              <w:rPr>
                <w:sz w:val="20"/>
                <w:szCs w:val="20"/>
                <w:color w:val="auto"/>
              </w:rPr>
            </w:pPr>
          </w:p>
        </w:tc>
        <w:tc>
          <w:tcPr>
            <w:tcW w:w="3320" w:type="dxa"/>
            <w:vAlign w:val="bottom"/>
          </w:tcPr>
          <w:p>
            <w:pPr>
              <w:jc w:val="center"/>
              <w:ind w:left="35"/>
              <w:spacing w:after="0"/>
              <w:rPr>
                <w:sz w:val="20"/>
                <w:szCs w:val="20"/>
                <w:color w:val="auto"/>
              </w:rPr>
            </w:pPr>
            <w:r>
              <w:rPr>
                <w:rFonts w:ascii="Arial" w:cs="Arial" w:eastAsia="Arial" w:hAnsi="Arial"/>
                <w:sz w:val="18"/>
                <w:szCs w:val="18"/>
                <w:color w:val="auto"/>
              </w:rPr>
              <w:t>William Berutti</w:t>
            </w:r>
          </w:p>
        </w:tc>
        <w:tc>
          <w:tcPr>
            <w:tcW w:w="0" w:type="dxa"/>
            <w:vAlign w:val="bottom"/>
          </w:tcPr>
          <w:p>
            <w:pPr>
              <w:spacing w:after="0"/>
              <w:rPr>
                <w:sz w:val="1"/>
                <w:szCs w:val="1"/>
                <w:color w:val="auto"/>
              </w:rPr>
            </w:pPr>
          </w:p>
        </w:tc>
      </w:tr>
      <w:tr>
        <w:trPr>
          <w:trHeight w:val="251"/>
        </w:trPr>
        <w:tc>
          <w:tcPr>
            <w:tcW w:w="3740" w:type="dxa"/>
            <w:vAlign w:val="bottom"/>
          </w:tcPr>
          <w:p>
            <w:pPr>
              <w:jc w:val="center"/>
              <w:spacing w:after="0"/>
              <w:rPr>
                <w:sz w:val="20"/>
                <w:szCs w:val="20"/>
                <w:color w:val="auto"/>
              </w:rPr>
            </w:pPr>
            <w:r>
              <w:rPr>
                <w:rFonts w:ascii="Arial" w:cs="Arial" w:eastAsia="Arial" w:hAnsi="Arial"/>
                <w:sz w:val="18"/>
                <w:szCs w:val="18"/>
                <w:color w:val="auto"/>
                <w:w w:val="99"/>
              </w:rPr>
              <w:t>Kristi M. Rogers</w:t>
            </w:r>
          </w:p>
        </w:tc>
        <w:tc>
          <w:tcPr>
            <w:tcW w:w="320" w:type="dxa"/>
            <w:vAlign w:val="bottom"/>
          </w:tcPr>
          <w:p>
            <w:pPr>
              <w:spacing w:after="0"/>
              <w:rPr>
                <w:sz w:val="21"/>
                <w:szCs w:val="21"/>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Wendy M. Pfeiffer</w:t>
            </w:r>
          </w:p>
        </w:tc>
        <w:tc>
          <w:tcPr>
            <w:tcW w:w="340" w:type="dxa"/>
            <w:vAlign w:val="bottom"/>
          </w:tcPr>
          <w:p>
            <w:pPr>
              <w:spacing w:after="0"/>
              <w:rPr>
                <w:sz w:val="21"/>
                <w:szCs w:val="21"/>
                <w:color w:val="auto"/>
              </w:rPr>
            </w:pPr>
          </w:p>
        </w:tc>
        <w:tc>
          <w:tcPr>
            <w:tcW w:w="3320" w:type="dxa"/>
            <w:vAlign w:val="bottom"/>
          </w:tcPr>
          <w:p>
            <w:pPr>
              <w:jc w:val="center"/>
              <w:ind w:left="35"/>
              <w:spacing w:after="0"/>
              <w:rPr>
                <w:sz w:val="20"/>
                <w:szCs w:val="20"/>
                <w:color w:val="auto"/>
              </w:rPr>
            </w:pPr>
            <w:r>
              <w:rPr>
                <w:rFonts w:ascii="Arial" w:cs="Arial" w:eastAsia="Arial" w:hAnsi="Arial"/>
                <w:sz w:val="18"/>
                <w:szCs w:val="18"/>
                <w:color w:val="auto"/>
                <w:w w:val="97"/>
              </w:rPr>
              <w:t>Jeffrey P. Hank</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John Zangardi</w:t>
            </w:r>
          </w:p>
        </w:tc>
        <w:tc>
          <w:tcPr>
            <w:tcW w:w="340" w:type="dxa"/>
            <w:vAlign w:val="bottom"/>
          </w:tcPr>
          <w:p>
            <w:pPr>
              <w:spacing w:after="0"/>
              <w:rPr>
                <w:sz w:val="23"/>
                <w:szCs w:val="23"/>
                <w:color w:val="auto"/>
              </w:rPr>
            </w:pPr>
          </w:p>
        </w:tc>
        <w:tc>
          <w:tcPr>
            <w:tcW w:w="3320" w:type="dxa"/>
            <w:vAlign w:val="bottom"/>
          </w:tcPr>
          <w:p>
            <w:pPr>
              <w:jc w:val="center"/>
              <w:ind w:left="15"/>
              <w:spacing w:after="0"/>
              <w:rPr>
                <w:sz w:val="20"/>
                <w:szCs w:val="20"/>
                <w:color w:val="auto"/>
              </w:rPr>
            </w:pPr>
            <w:r>
              <w:rPr>
                <w:rFonts w:ascii="Arial" w:cs="Arial" w:eastAsia="Arial" w:hAnsi="Arial"/>
                <w:sz w:val="18"/>
                <w:szCs w:val="18"/>
                <w:color w:val="auto"/>
                <w:w w:val="99"/>
              </w:rPr>
              <w:t>Sumedh S. Thakar</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80" w:firstLine="440"/>
        <w:spacing w:after="0" w:line="247" w:lineRule="auto"/>
        <w:rPr>
          <w:sz w:val="20"/>
          <w:szCs w:val="20"/>
          <w:color w:val="auto"/>
        </w:rPr>
      </w:pPr>
      <w:r>
        <w:rPr>
          <w:rFonts w:ascii="Arial" w:cs="Arial" w:eastAsia="Arial" w:hAnsi="Arial"/>
          <w:sz w:val="18"/>
          <w:szCs w:val="18"/>
          <w:color w:val="auto"/>
        </w:rPr>
        <w:t>The following table sets forth the names, ages as of April 21, 2022, and certain other information for each of the nominees for election as a director and for each of the continuing members of our board of directors. Mr. Berutti, who joined our board of directors in November 2021, was recommended to the Nominating and ESG Committee for consideration as a potential director by an independent search firm.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shd w:val="clear" w:color="auto" w:fill="FF0C07"/>
          </w:tcPr>
          <w:p>
            <w:pPr>
              <w:spacing w:after="0"/>
              <w:rPr>
                <w:sz w:val="14"/>
                <w:szCs w:val="14"/>
                <w:color w:val="auto"/>
              </w:rPr>
            </w:pPr>
          </w:p>
        </w:tc>
        <w:tc>
          <w:tcPr>
            <w:tcW w:w="1220" w:type="dxa"/>
            <w:vAlign w:val="bottom"/>
            <w:shd w:val="clear" w:color="auto" w:fill="FF0C07"/>
          </w:tcPr>
          <w:p>
            <w:pPr>
              <w:spacing w:after="0"/>
              <w:rPr>
                <w:sz w:val="14"/>
                <w:szCs w:val="14"/>
                <w:color w:val="auto"/>
              </w:rPr>
            </w:pPr>
          </w:p>
        </w:tc>
        <w:tc>
          <w:tcPr>
            <w:tcW w:w="920" w:type="dxa"/>
            <w:vAlign w:val="bottom"/>
            <w:shd w:val="clear" w:color="auto" w:fill="FF0C07"/>
          </w:tcPr>
          <w:p>
            <w:pPr>
              <w:spacing w:after="0"/>
              <w:rPr>
                <w:sz w:val="14"/>
                <w:szCs w:val="14"/>
                <w:color w:val="auto"/>
              </w:rPr>
            </w:pPr>
          </w:p>
        </w:tc>
        <w:tc>
          <w:tcPr>
            <w:tcW w:w="960" w:type="dxa"/>
            <w:vAlign w:val="bottom"/>
            <w:shd w:val="clear" w:color="auto" w:fill="FF0C07"/>
          </w:tcPr>
          <w:p>
            <w:pPr>
              <w:spacing w:after="0"/>
              <w:rPr>
                <w:sz w:val="14"/>
                <w:szCs w:val="14"/>
                <w:color w:val="auto"/>
              </w:rPr>
            </w:pPr>
          </w:p>
        </w:tc>
        <w:tc>
          <w:tcPr>
            <w:tcW w:w="1080" w:type="dxa"/>
            <w:vAlign w:val="bottom"/>
            <w:shd w:val="clear" w:color="auto" w:fill="FF0C07"/>
          </w:tcPr>
          <w:p>
            <w:pPr>
              <w:jc w:val="right"/>
              <w:ind w:right="135"/>
              <w:spacing w:after="0"/>
              <w:rPr>
                <w:sz w:val="20"/>
                <w:szCs w:val="20"/>
                <w:color w:val="auto"/>
              </w:rPr>
            </w:pPr>
            <w:r>
              <w:rPr>
                <w:rFonts w:ascii="Arial" w:cs="Arial" w:eastAsia="Arial" w:hAnsi="Arial"/>
                <w:sz w:val="14"/>
                <w:szCs w:val="14"/>
                <w:b w:val="1"/>
                <w:bCs w:val="1"/>
                <w:color w:val="FFFFFF"/>
              </w:rPr>
              <w:t>Other</w:t>
            </w:r>
          </w:p>
        </w:tc>
        <w:tc>
          <w:tcPr>
            <w:tcW w:w="1280" w:type="dxa"/>
            <w:vAlign w:val="bottom"/>
            <w:shd w:val="clear" w:color="auto" w:fill="FF0C07"/>
          </w:tcPr>
          <w:p>
            <w:pPr>
              <w:jc w:val="center"/>
              <w:ind w:left="184"/>
              <w:spacing w:after="0"/>
              <w:rPr>
                <w:sz w:val="20"/>
                <w:szCs w:val="20"/>
                <w:color w:val="auto"/>
              </w:rPr>
            </w:pPr>
            <w:r>
              <w:rPr>
                <w:rFonts w:ascii="Arial" w:cs="Arial" w:eastAsia="Arial" w:hAnsi="Arial"/>
                <w:sz w:val="14"/>
                <w:szCs w:val="14"/>
                <w:b w:val="1"/>
                <w:bCs w:val="1"/>
                <w:color w:val="FFFFFF"/>
              </w:rPr>
              <w:t>Audit</w:t>
            </w:r>
          </w:p>
        </w:tc>
        <w:tc>
          <w:tcPr>
            <w:tcW w:w="1380" w:type="dxa"/>
            <w:vAlign w:val="bottom"/>
            <w:shd w:val="clear" w:color="auto" w:fill="FF0C07"/>
          </w:tcPr>
          <w:p>
            <w:pPr>
              <w:jc w:val="center"/>
              <w:ind w:left="184"/>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3020" w:type="dxa"/>
            <w:vAlign w:val="bottom"/>
            <w:shd w:val="clear" w:color="auto" w:fill="FF0C07"/>
          </w:tcPr>
          <w:p>
            <w:pPr>
              <w:spacing w:after="0"/>
              <w:rPr>
                <w:sz w:val="14"/>
                <w:szCs w:val="14"/>
                <w:color w:val="auto"/>
              </w:rPr>
            </w:pPr>
          </w:p>
        </w:tc>
        <w:tc>
          <w:tcPr>
            <w:tcW w:w="1220" w:type="dxa"/>
            <w:vAlign w:val="bottom"/>
            <w:shd w:val="clear" w:color="auto" w:fill="FF0C07"/>
          </w:tcPr>
          <w:p>
            <w:pPr>
              <w:spacing w:after="0"/>
              <w:rPr>
                <w:sz w:val="14"/>
                <w:szCs w:val="14"/>
                <w:color w:val="auto"/>
              </w:rPr>
            </w:pPr>
          </w:p>
        </w:tc>
        <w:tc>
          <w:tcPr>
            <w:tcW w:w="920" w:type="dxa"/>
            <w:vAlign w:val="bottom"/>
            <w:shd w:val="clear" w:color="auto" w:fill="FF0C07"/>
          </w:tcPr>
          <w:p>
            <w:pPr>
              <w:jc w:val="right"/>
              <w:spacing w:after="0"/>
              <w:rPr>
                <w:sz w:val="20"/>
                <w:szCs w:val="20"/>
                <w:color w:val="auto"/>
              </w:rPr>
            </w:pPr>
            <w:r>
              <w:rPr>
                <w:rFonts w:ascii="Arial" w:cs="Arial" w:eastAsia="Arial" w:hAnsi="Arial"/>
                <w:sz w:val="14"/>
                <w:szCs w:val="14"/>
                <w:b w:val="1"/>
                <w:bCs w:val="1"/>
                <w:color w:val="FFFFFF"/>
              </w:rPr>
              <w:t>Director</w:t>
            </w:r>
          </w:p>
        </w:tc>
        <w:tc>
          <w:tcPr>
            <w:tcW w:w="960" w:type="dxa"/>
            <w:vAlign w:val="bottom"/>
            <w:shd w:val="clear" w:color="auto" w:fill="FF0C07"/>
          </w:tcPr>
          <w:p>
            <w:pPr>
              <w:spacing w:after="0"/>
              <w:rPr>
                <w:sz w:val="14"/>
                <w:szCs w:val="14"/>
                <w:color w:val="auto"/>
              </w:rPr>
            </w:pPr>
          </w:p>
        </w:tc>
        <w:tc>
          <w:tcPr>
            <w:tcW w:w="1080" w:type="dxa"/>
            <w:vAlign w:val="bottom"/>
            <w:shd w:val="clear" w:color="auto" w:fill="FF0C07"/>
          </w:tcPr>
          <w:p>
            <w:pPr>
              <w:jc w:val="right"/>
              <w:spacing w:after="0"/>
              <w:rPr>
                <w:sz w:val="20"/>
                <w:szCs w:val="20"/>
                <w:color w:val="auto"/>
              </w:rPr>
            </w:pPr>
            <w:r>
              <w:rPr>
                <w:rFonts w:ascii="Arial" w:cs="Arial" w:eastAsia="Arial" w:hAnsi="Arial"/>
                <w:sz w:val="14"/>
                <w:szCs w:val="14"/>
                <w:b w:val="1"/>
                <w:bCs w:val="1"/>
                <w:color w:val="FFFFFF"/>
              </w:rPr>
              <w:t>Public Co.</w:t>
            </w:r>
          </w:p>
        </w:tc>
        <w:tc>
          <w:tcPr>
            <w:tcW w:w="1280" w:type="dxa"/>
            <w:vAlign w:val="bottom"/>
            <w:shd w:val="clear" w:color="auto" w:fill="FF0C07"/>
          </w:tcPr>
          <w:p>
            <w:pPr>
              <w:jc w:val="center"/>
              <w:ind w:left="184"/>
              <w:spacing w:after="0"/>
              <w:rPr>
                <w:sz w:val="20"/>
                <w:szCs w:val="20"/>
                <w:color w:val="auto"/>
              </w:rPr>
            </w:pPr>
            <w:r>
              <w:rPr>
                <w:rFonts w:ascii="Arial" w:cs="Arial" w:eastAsia="Arial" w:hAnsi="Arial"/>
                <w:sz w:val="14"/>
                <w:szCs w:val="14"/>
                <w:b w:val="1"/>
                <w:bCs w:val="1"/>
                <w:color w:val="FFFFFF"/>
              </w:rPr>
              <w:t>&amp; Risk</w:t>
            </w:r>
          </w:p>
        </w:tc>
        <w:tc>
          <w:tcPr>
            <w:tcW w:w="1380" w:type="dxa"/>
            <w:vAlign w:val="bottom"/>
            <w:shd w:val="clear" w:color="auto" w:fill="FF0C07"/>
          </w:tcPr>
          <w:p>
            <w:pPr>
              <w:jc w:val="center"/>
              <w:ind w:left="184"/>
              <w:spacing w:after="0"/>
              <w:rPr>
                <w:sz w:val="20"/>
                <w:szCs w:val="20"/>
                <w:color w:val="auto"/>
              </w:rPr>
            </w:pPr>
            <w:r>
              <w:rPr>
                <w:rFonts w:ascii="Arial" w:cs="Arial" w:eastAsia="Arial" w:hAnsi="Arial"/>
                <w:sz w:val="14"/>
                <w:szCs w:val="14"/>
                <w:b w:val="1"/>
                <w:bCs w:val="1"/>
                <w:color w:val="FFFFFF"/>
              </w:rPr>
              <w:t>&amp; Talent</w:t>
            </w:r>
          </w:p>
        </w:tc>
        <w:tc>
          <w:tcPr>
            <w:tcW w:w="116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&amp; ESG</w:t>
            </w:r>
          </w:p>
        </w:tc>
      </w:tr>
      <w:tr>
        <w:trPr>
          <w:trHeight w:val="196"/>
        </w:trPr>
        <w:tc>
          <w:tcPr>
            <w:tcW w:w="302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FF0C07"/>
          </w:tcPr>
          <w:p>
            <w:pPr>
              <w:ind w:left="320"/>
              <w:spacing w:after="0"/>
              <w:rPr>
                <w:sz w:val="20"/>
                <w:szCs w:val="20"/>
                <w:color w:val="auto"/>
              </w:rPr>
            </w:pPr>
            <w:r>
              <w:rPr>
                <w:rFonts w:ascii="Arial" w:cs="Arial" w:eastAsia="Arial" w:hAnsi="Arial"/>
                <w:sz w:val="14"/>
                <w:szCs w:val="14"/>
                <w:b w:val="1"/>
                <w:bCs w:val="1"/>
                <w:color w:val="FFFFFF"/>
              </w:rPr>
              <w:t>Independent</w:t>
            </w:r>
          </w:p>
        </w:tc>
        <w:tc>
          <w:tcPr>
            <w:tcW w:w="920" w:type="dxa"/>
            <w:vAlign w:val="bottom"/>
            <w:shd w:val="clear" w:color="auto" w:fill="FF0C07"/>
          </w:tcPr>
          <w:p>
            <w:pPr>
              <w:jc w:val="right"/>
              <w:ind w:right="54"/>
              <w:spacing w:after="0"/>
              <w:rPr>
                <w:sz w:val="20"/>
                <w:szCs w:val="20"/>
                <w:color w:val="auto"/>
              </w:rPr>
            </w:pPr>
            <w:r>
              <w:rPr>
                <w:rFonts w:ascii="Arial" w:cs="Arial" w:eastAsia="Arial" w:hAnsi="Arial"/>
                <w:sz w:val="14"/>
                <w:szCs w:val="14"/>
                <w:b w:val="1"/>
                <w:bCs w:val="1"/>
                <w:color w:val="FFFFFF"/>
              </w:rPr>
              <w:t>Since</w:t>
            </w:r>
          </w:p>
        </w:tc>
        <w:tc>
          <w:tcPr>
            <w:tcW w:w="960" w:type="dxa"/>
            <w:vAlign w:val="bottom"/>
            <w:shd w:val="clear" w:color="auto" w:fill="FF0C07"/>
          </w:tcPr>
          <w:p>
            <w:pPr>
              <w:jc w:val="right"/>
              <w:ind w:right="132"/>
              <w:spacing w:after="0"/>
              <w:rPr>
                <w:sz w:val="20"/>
                <w:szCs w:val="20"/>
                <w:color w:val="auto"/>
              </w:rPr>
            </w:pPr>
            <w:r>
              <w:rPr>
                <w:rFonts w:ascii="Arial" w:cs="Arial" w:eastAsia="Arial" w:hAnsi="Arial"/>
                <w:sz w:val="14"/>
                <w:szCs w:val="14"/>
                <w:b w:val="1"/>
                <w:bCs w:val="1"/>
                <w:color w:val="FFFFFF"/>
              </w:rPr>
              <w:t>Age</w:t>
            </w:r>
          </w:p>
        </w:tc>
        <w:tc>
          <w:tcPr>
            <w:tcW w:w="1080" w:type="dxa"/>
            <w:vAlign w:val="bottom"/>
            <w:shd w:val="clear" w:color="auto" w:fill="FF0C07"/>
          </w:tcPr>
          <w:p>
            <w:pPr>
              <w:jc w:val="right"/>
              <w:ind w:right="75"/>
              <w:spacing w:after="0"/>
              <w:rPr>
                <w:sz w:val="20"/>
                <w:szCs w:val="20"/>
                <w:color w:val="auto"/>
              </w:rPr>
            </w:pPr>
            <w:r>
              <w:rPr>
                <w:rFonts w:ascii="Arial" w:cs="Arial" w:eastAsia="Arial" w:hAnsi="Arial"/>
                <w:sz w:val="14"/>
                <w:szCs w:val="14"/>
                <w:b w:val="1"/>
                <w:bCs w:val="1"/>
                <w:color w:val="FFFFFF"/>
              </w:rPr>
              <w:t>Boards</w:t>
            </w:r>
          </w:p>
        </w:tc>
        <w:tc>
          <w:tcPr>
            <w:tcW w:w="1280" w:type="dxa"/>
            <w:vAlign w:val="bottom"/>
            <w:shd w:val="clear" w:color="auto" w:fill="FF0C07"/>
          </w:tcPr>
          <w:p>
            <w:pPr>
              <w:jc w:val="center"/>
              <w:ind w:left="184"/>
              <w:spacing w:after="0"/>
              <w:rPr>
                <w:sz w:val="20"/>
                <w:szCs w:val="20"/>
                <w:color w:val="auto"/>
              </w:rPr>
            </w:pPr>
            <w:r>
              <w:rPr>
                <w:rFonts w:ascii="Arial" w:cs="Arial" w:eastAsia="Arial" w:hAnsi="Arial"/>
                <w:sz w:val="14"/>
                <w:szCs w:val="14"/>
                <w:b w:val="1"/>
                <w:bCs w:val="1"/>
                <w:color w:val="FFFFFF"/>
              </w:rPr>
              <w:t>Committee</w:t>
            </w:r>
          </w:p>
        </w:tc>
        <w:tc>
          <w:tcPr>
            <w:tcW w:w="1380" w:type="dxa"/>
            <w:vAlign w:val="bottom"/>
            <w:shd w:val="clear" w:color="auto" w:fill="FF0C07"/>
          </w:tcPr>
          <w:p>
            <w:pPr>
              <w:jc w:val="center"/>
              <w:ind w:left="204"/>
              <w:spacing w:after="0"/>
              <w:rPr>
                <w:sz w:val="20"/>
                <w:szCs w:val="20"/>
                <w:color w:val="auto"/>
              </w:rPr>
            </w:pPr>
            <w:r>
              <w:rPr>
                <w:rFonts w:ascii="Arial" w:cs="Arial" w:eastAsia="Arial" w:hAnsi="Arial"/>
                <w:sz w:val="14"/>
                <w:szCs w:val="14"/>
                <w:b w:val="1"/>
                <w:bCs w:val="1"/>
                <w:color w:val="FFFFFF"/>
              </w:rPr>
              <w:t>Committee</w:t>
            </w:r>
          </w:p>
        </w:tc>
        <w:tc>
          <w:tcPr>
            <w:tcW w:w="116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Committee</w:t>
            </w:r>
          </w:p>
        </w:tc>
      </w:tr>
      <w:tr>
        <w:trPr>
          <w:trHeight w:val="70"/>
        </w:trPr>
        <w:tc>
          <w:tcPr>
            <w:tcW w:w="3020" w:type="dxa"/>
            <w:vAlign w:val="bottom"/>
            <w:shd w:val="clear" w:color="auto" w:fill="FF0C07"/>
          </w:tcPr>
          <w:p>
            <w:pPr>
              <w:spacing w:after="0"/>
              <w:rPr>
                <w:sz w:val="6"/>
                <w:szCs w:val="6"/>
                <w:color w:val="auto"/>
              </w:rPr>
            </w:pPr>
          </w:p>
        </w:tc>
        <w:tc>
          <w:tcPr>
            <w:tcW w:w="1220" w:type="dxa"/>
            <w:vAlign w:val="bottom"/>
            <w:shd w:val="clear" w:color="auto" w:fill="FF0C07"/>
          </w:tcPr>
          <w:p>
            <w:pPr>
              <w:spacing w:after="0"/>
              <w:rPr>
                <w:sz w:val="6"/>
                <w:szCs w:val="6"/>
                <w:color w:val="auto"/>
              </w:rPr>
            </w:pPr>
          </w:p>
        </w:tc>
        <w:tc>
          <w:tcPr>
            <w:tcW w:w="920" w:type="dxa"/>
            <w:vAlign w:val="bottom"/>
            <w:shd w:val="clear" w:color="auto" w:fill="FF0C07"/>
          </w:tcPr>
          <w:p>
            <w:pPr>
              <w:spacing w:after="0"/>
              <w:rPr>
                <w:sz w:val="6"/>
                <w:szCs w:val="6"/>
                <w:color w:val="auto"/>
              </w:rPr>
            </w:pPr>
          </w:p>
        </w:tc>
        <w:tc>
          <w:tcPr>
            <w:tcW w:w="960" w:type="dxa"/>
            <w:vAlign w:val="bottom"/>
            <w:shd w:val="clear" w:color="auto" w:fill="FF0C07"/>
          </w:tcPr>
          <w:p>
            <w:pPr>
              <w:spacing w:after="0"/>
              <w:rPr>
                <w:sz w:val="6"/>
                <w:szCs w:val="6"/>
                <w:color w:val="auto"/>
              </w:rPr>
            </w:pPr>
          </w:p>
        </w:tc>
        <w:tc>
          <w:tcPr>
            <w:tcW w:w="1080" w:type="dxa"/>
            <w:vAlign w:val="bottom"/>
            <w:shd w:val="clear" w:color="auto" w:fill="FF0C07"/>
          </w:tcPr>
          <w:p>
            <w:pPr>
              <w:spacing w:after="0"/>
              <w:rPr>
                <w:sz w:val="6"/>
                <w:szCs w:val="6"/>
                <w:color w:val="auto"/>
              </w:rPr>
            </w:pPr>
          </w:p>
        </w:tc>
        <w:tc>
          <w:tcPr>
            <w:tcW w:w="1280" w:type="dxa"/>
            <w:vAlign w:val="bottom"/>
            <w:shd w:val="clear" w:color="auto" w:fill="FF0C07"/>
          </w:tcPr>
          <w:p>
            <w:pPr>
              <w:spacing w:after="0"/>
              <w:rPr>
                <w:sz w:val="6"/>
                <w:szCs w:val="6"/>
                <w:color w:val="auto"/>
              </w:rPr>
            </w:pPr>
          </w:p>
        </w:tc>
        <w:tc>
          <w:tcPr>
            <w:tcW w:w="1380" w:type="dxa"/>
            <w:vAlign w:val="bottom"/>
            <w:shd w:val="clear" w:color="auto" w:fill="FF0C07"/>
          </w:tcPr>
          <w:p>
            <w:pPr>
              <w:spacing w:after="0"/>
              <w:rPr>
                <w:sz w:val="6"/>
                <w:szCs w:val="6"/>
                <w:color w:val="auto"/>
              </w:rPr>
            </w:pPr>
          </w:p>
        </w:tc>
        <w:tc>
          <w:tcPr>
            <w:tcW w:w="1160" w:type="dxa"/>
            <w:vAlign w:val="bottom"/>
            <w:shd w:val="clear" w:color="auto" w:fill="FF0C07"/>
          </w:tcPr>
          <w:p>
            <w:pPr>
              <w:spacing w:after="0"/>
              <w:rPr>
                <w:sz w:val="6"/>
                <w:szCs w:val="6"/>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b w:val="1"/>
                <w:bCs w:val="1"/>
                <w:color w:val="auto"/>
              </w:rPr>
              <w:t>Nominees for Director</w:t>
            </w: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94"/>
        </w:trPr>
        <w:tc>
          <w:tcPr>
            <w:tcW w:w="3020" w:type="dxa"/>
            <w:vAlign w:val="bottom"/>
          </w:tcPr>
          <w:p>
            <w:pPr>
              <w:spacing w:after="0"/>
              <w:rPr>
                <w:sz w:val="20"/>
                <w:szCs w:val="20"/>
                <w:color w:val="auto"/>
              </w:rPr>
            </w:pPr>
            <w:r>
              <w:rPr>
                <w:rFonts w:ascii="Arial" w:cs="Arial" w:eastAsia="Arial" w:hAnsi="Arial"/>
                <w:sz w:val="18"/>
                <w:szCs w:val="18"/>
                <w:color w:val="auto"/>
              </w:rPr>
              <w:t>Sandra E. Bergeron</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2006</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63</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shd w:val="clear" w:color="auto" w:fill="EDEDED"/>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shd w:val="clear" w:color="auto" w:fill="EDEDED"/>
          </w:tcPr>
          <w:p>
            <w:pPr>
              <w:spacing w:after="0"/>
              <w:rPr>
                <w:sz w:val="24"/>
                <w:szCs w:val="24"/>
                <w:color w:val="auto"/>
              </w:rPr>
            </w:pPr>
          </w:p>
        </w:tc>
      </w:tr>
      <w:tr>
        <w:trPr>
          <w:trHeight w:val="233"/>
        </w:trPr>
        <w:tc>
          <w:tcPr>
            <w:tcW w:w="3020" w:type="dxa"/>
            <w:vAlign w:val="bottom"/>
            <w:tcBorders>
              <w:bottom w:val="single" w:sz="8" w:color="FF0C07"/>
            </w:tcBorders>
          </w:tcPr>
          <w:p>
            <w:pPr>
              <w:ind w:left="180"/>
              <w:spacing w:after="0"/>
              <w:rPr>
                <w:sz w:val="20"/>
                <w:szCs w:val="20"/>
                <w:color w:val="auto"/>
              </w:rPr>
            </w:pPr>
            <w:r>
              <w:rPr>
                <w:rFonts w:ascii="Arial" w:cs="Arial" w:eastAsia="Arial" w:hAnsi="Arial"/>
                <w:sz w:val="18"/>
                <w:szCs w:val="18"/>
                <w:i w:val="1"/>
                <w:iCs w:val="1"/>
                <w:color w:val="auto"/>
              </w:rPr>
              <w:t>Chair of the Board</w:t>
            </w:r>
          </w:p>
        </w:tc>
        <w:tc>
          <w:tcPr>
            <w:tcW w:w="1220" w:type="dxa"/>
            <w:vAlign w:val="bottom"/>
            <w:tcBorders>
              <w:bottom w:val="single" w:sz="8" w:color="FF0C07"/>
            </w:tcBorders>
            <w:shd w:val="clear" w:color="auto" w:fill="EDEDED"/>
          </w:tcPr>
          <w:p>
            <w:pPr>
              <w:spacing w:after="0"/>
              <w:rPr>
                <w:sz w:val="20"/>
                <w:szCs w:val="20"/>
                <w:color w:val="auto"/>
              </w:rPr>
            </w:pPr>
          </w:p>
        </w:tc>
        <w:tc>
          <w:tcPr>
            <w:tcW w:w="920" w:type="dxa"/>
            <w:vAlign w:val="bottom"/>
            <w:tcBorders>
              <w:bottom w:val="single" w:sz="8" w:color="FF0C07"/>
            </w:tcBorders>
          </w:tcPr>
          <w:p>
            <w:pPr>
              <w:spacing w:after="0"/>
              <w:rPr>
                <w:sz w:val="20"/>
                <w:szCs w:val="20"/>
                <w:color w:val="auto"/>
              </w:rPr>
            </w:pPr>
          </w:p>
        </w:tc>
        <w:tc>
          <w:tcPr>
            <w:tcW w:w="960" w:type="dxa"/>
            <w:vAlign w:val="bottom"/>
            <w:tcBorders>
              <w:bottom w:val="single" w:sz="8" w:color="FF0C07"/>
            </w:tcBorders>
            <w:shd w:val="clear" w:color="auto" w:fill="EDEDED"/>
          </w:tcPr>
          <w:p>
            <w:pPr>
              <w:spacing w:after="0"/>
              <w:rPr>
                <w:sz w:val="20"/>
                <w:szCs w:val="20"/>
                <w:color w:val="auto"/>
              </w:rPr>
            </w:pPr>
          </w:p>
        </w:tc>
        <w:tc>
          <w:tcPr>
            <w:tcW w:w="1080" w:type="dxa"/>
            <w:vAlign w:val="bottom"/>
            <w:tcBorders>
              <w:bottom w:val="single" w:sz="8" w:color="FF0C07"/>
            </w:tcBorders>
          </w:tcPr>
          <w:p>
            <w:pPr>
              <w:spacing w:after="0"/>
              <w:rPr>
                <w:sz w:val="20"/>
                <w:szCs w:val="20"/>
                <w:color w:val="auto"/>
              </w:rPr>
            </w:pPr>
          </w:p>
        </w:tc>
        <w:tc>
          <w:tcPr>
            <w:tcW w:w="1280" w:type="dxa"/>
            <w:vAlign w:val="bottom"/>
            <w:tcBorders>
              <w:bottom w:val="single" w:sz="8" w:color="FF0C07"/>
            </w:tcBorders>
            <w:shd w:val="clear" w:color="auto" w:fill="EDEDED"/>
          </w:tcPr>
          <w:p>
            <w:pPr>
              <w:spacing w:after="0"/>
              <w:rPr>
                <w:sz w:val="20"/>
                <w:szCs w:val="20"/>
                <w:color w:val="auto"/>
              </w:rPr>
            </w:pPr>
          </w:p>
        </w:tc>
        <w:tc>
          <w:tcPr>
            <w:tcW w:w="1380" w:type="dxa"/>
            <w:vAlign w:val="bottom"/>
            <w:tcBorders>
              <w:bottom w:val="single" w:sz="8" w:color="FF0C07"/>
            </w:tcBorders>
          </w:tcPr>
          <w:p>
            <w:pPr>
              <w:spacing w:after="0"/>
              <w:rPr>
                <w:sz w:val="20"/>
                <w:szCs w:val="20"/>
                <w:color w:val="auto"/>
              </w:rPr>
            </w:pPr>
          </w:p>
        </w:tc>
        <w:tc>
          <w:tcPr>
            <w:tcW w:w="1160" w:type="dxa"/>
            <w:vAlign w:val="bottom"/>
            <w:tcBorders>
              <w:bottom w:val="single" w:sz="8" w:color="FF0C07"/>
            </w:tcBorders>
            <w:shd w:val="clear" w:color="auto" w:fill="EDEDED"/>
          </w:tcPr>
          <w:p>
            <w:pPr>
              <w:spacing w:after="0"/>
              <w:rPr>
                <w:sz w:val="20"/>
                <w:szCs w:val="20"/>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Kristi M. Rogers</w:t>
            </w:r>
          </w:p>
        </w:tc>
        <w:tc>
          <w:tcPr>
            <w:tcW w:w="12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2013</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52</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DEDED"/>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shd w:val="clear" w:color="auto" w:fill="EDEDED"/>
          </w:tcPr>
          <w:p>
            <w:pPr>
              <w:ind w:left="340"/>
              <w:spacing w:after="0"/>
              <w:rPr>
                <w:sz w:val="20"/>
                <w:szCs w:val="20"/>
                <w:color w:val="auto"/>
              </w:rPr>
            </w:pPr>
            <w:r>
              <w:rPr>
                <w:rFonts w:ascii="Arial" w:cs="Arial" w:eastAsia="Arial" w:hAnsi="Arial"/>
                <w:sz w:val="18"/>
                <w:szCs w:val="18"/>
                <w:color w:val="auto"/>
              </w:rPr>
              <w:t>CHAIR</w:t>
            </w:r>
          </w:p>
        </w:tc>
      </w:tr>
      <w:tr>
        <w:trPr>
          <w:trHeight w:val="162"/>
        </w:trPr>
        <w:tc>
          <w:tcPr>
            <w:tcW w:w="3020" w:type="dxa"/>
            <w:vAlign w:val="bottom"/>
            <w:tcBorders>
              <w:bottom w:val="single" w:sz="8" w:color="FF0C07"/>
            </w:tcBorders>
          </w:tcPr>
          <w:p>
            <w:pPr>
              <w:spacing w:after="0"/>
              <w:rPr>
                <w:sz w:val="14"/>
                <w:szCs w:val="14"/>
                <w:color w:val="auto"/>
              </w:rPr>
            </w:pPr>
          </w:p>
        </w:tc>
        <w:tc>
          <w:tcPr>
            <w:tcW w:w="1220" w:type="dxa"/>
            <w:vAlign w:val="bottom"/>
            <w:tcBorders>
              <w:bottom w:val="single" w:sz="8" w:color="FF0C07"/>
            </w:tcBorders>
          </w:tcPr>
          <w:p>
            <w:pPr>
              <w:spacing w:after="0"/>
              <w:rPr>
                <w:sz w:val="14"/>
                <w:szCs w:val="14"/>
                <w:color w:val="auto"/>
              </w:rPr>
            </w:pPr>
          </w:p>
        </w:tc>
        <w:tc>
          <w:tcPr>
            <w:tcW w:w="920" w:type="dxa"/>
            <w:vAlign w:val="bottom"/>
            <w:tcBorders>
              <w:bottom w:val="single" w:sz="8" w:color="FF0C07"/>
            </w:tcBorders>
          </w:tcPr>
          <w:p>
            <w:pPr>
              <w:spacing w:after="0"/>
              <w:rPr>
                <w:sz w:val="14"/>
                <w:szCs w:val="14"/>
                <w:color w:val="auto"/>
              </w:rPr>
            </w:pPr>
          </w:p>
        </w:tc>
        <w:tc>
          <w:tcPr>
            <w:tcW w:w="960" w:type="dxa"/>
            <w:vAlign w:val="bottom"/>
            <w:tcBorders>
              <w:bottom w:val="single" w:sz="8" w:color="FF0C07"/>
            </w:tcBorders>
            <w:shd w:val="clear" w:color="auto" w:fill="EDEDED"/>
          </w:tcPr>
          <w:p>
            <w:pPr>
              <w:spacing w:after="0"/>
              <w:rPr>
                <w:sz w:val="14"/>
                <w:szCs w:val="14"/>
                <w:color w:val="auto"/>
              </w:rPr>
            </w:pPr>
          </w:p>
        </w:tc>
        <w:tc>
          <w:tcPr>
            <w:tcW w:w="1080" w:type="dxa"/>
            <w:vAlign w:val="bottom"/>
            <w:tcBorders>
              <w:bottom w:val="single" w:sz="8" w:color="FF0C07"/>
            </w:tcBorders>
          </w:tcPr>
          <w:p>
            <w:pPr>
              <w:spacing w:after="0"/>
              <w:rPr>
                <w:sz w:val="14"/>
                <w:szCs w:val="14"/>
                <w:color w:val="auto"/>
              </w:rPr>
            </w:pPr>
          </w:p>
        </w:tc>
        <w:tc>
          <w:tcPr>
            <w:tcW w:w="1280" w:type="dxa"/>
            <w:vAlign w:val="bottom"/>
            <w:tcBorders>
              <w:bottom w:val="single" w:sz="8" w:color="FF0C07"/>
            </w:tcBorders>
            <w:shd w:val="clear" w:color="auto" w:fill="EDEDED"/>
          </w:tcPr>
          <w:p>
            <w:pPr>
              <w:spacing w:after="0"/>
              <w:rPr>
                <w:sz w:val="14"/>
                <w:szCs w:val="14"/>
                <w:color w:val="auto"/>
              </w:rPr>
            </w:pPr>
          </w:p>
        </w:tc>
        <w:tc>
          <w:tcPr>
            <w:tcW w:w="1380" w:type="dxa"/>
            <w:vAlign w:val="bottom"/>
            <w:tcBorders>
              <w:bottom w:val="single" w:sz="8" w:color="FF0C07"/>
            </w:tcBorders>
          </w:tcPr>
          <w:p>
            <w:pPr>
              <w:spacing w:after="0"/>
              <w:rPr>
                <w:sz w:val="14"/>
                <w:szCs w:val="14"/>
                <w:color w:val="auto"/>
              </w:rPr>
            </w:pPr>
          </w:p>
        </w:tc>
        <w:tc>
          <w:tcPr>
            <w:tcW w:w="1160" w:type="dxa"/>
            <w:vAlign w:val="bottom"/>
            <w:tcBorders>
              <w:bottom w:val="single" w:sz="8" w:color="FF0C07"/>
            </w:tcBorders>
            <w:shd w:val="clear" w:color="auto" w:fill="EDEDED"/>
          </w:tcPr>
          <w:p>
            <w:pPr>
              <w:spacing w:after="0"/>
              <w:rPr>
                <w:sz w:val="14"/>
                <w:szCs w:val="14"/>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b w:val="1"/>
                <w:bCs w:val="1"/>
                <w:color w:val="auto"/>
              </w:rPr>
              <w:t>Continuing Directors</w:t>
            </w: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44"/>
        </w:trPr>
        <w:tc>
          <w:tcPr>
            <w:tcW w:w="3020" w:type="dxa"/>
            <w:vAlign w:val="bottom"/>
          </w:tcPr>
          <w:p>
            <w:pPr>
              <w:spacing w:after="0"/>
              <w:rPr>
                <w:sz w:val="20"/>
                <w:szCs w:val="20"/>
                <w:color w:val="auto"/>
              </w:rPr>
            </w:pPr>
            <w:r>
              <w:rPr>
                <w:rFonts w:ascii="Arial" w:cs="Arial" w:eastAsia="Arial" w:hAnsi="Arial"/>
                <w:sz w:val="18"/>
                <w:szCs w:val="18"/>
                <w:color w:val="auto"/>
              </w:rPr>
              <w:t>William Berutti</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52</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DEDED"/>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shd w:val="clear" w:color="auto" w:fill="EDEDED"/>
          </w:tcPr>
          <w:p>
            <w:pPr>
              <w:spacing w:after="0"/>
              <w:rPr>
                <w:sz w:val="24"/>
                <w:szCs w:val="24"/>
                <w:color w:val="auto"/>
              </w:rPr>
            </w:pPr>
          </w:p>
        </w:tc>
      </w:tr>
      <w:tr>
        <w:trPr>
          <w:trHeight w:val="155"/>
        </w:trPr>
        <w:tc>
          <w:tcPr>
            <w:tcW w:w="3020" w:type="dxa"/>
            <w:vAlign w:val="bottom"/>
            <w:tcBorders>
              <w:bottom w:val="single" w:sz="8" w:color="FF0C07"/>
            </w:tcBorders>
          </w:tcPr>
          <w:p>
            <w:pPr>
              <w:spacing w:after="0"/>
              <w:rPr>
                <w:sz w:val="13"/>
                <w:szCs w:val="13"/>
                <w:color w:val="auto"/>
              </w:rPr>
            </w:pPr>
          </w:p>
        </w:tc>
        <w:tc>
          <w:tcPr>
            <w:tcW w:w="122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tcPr>
          <w:p>
            <w:pPr>
              <w:spacing w:after="0"/>
              <w:rPr>
                <w:sz w:val="13"/>
                <w:szCs w:val="13"/>
                <w:color w:val="auto"/>
              </w:rPr>
            </w:pPr>
          </w:p>
        </w:tc>
        <w:tc>
          <w:tcPr>
            <w:tcW w:w="960" w:type="dxa"/>
            <w:vAlign w:val="bottom"/>
            <w:tcBorders>
              <w:bottom w:val="single" w:sz="8" w:color="FF0C07"/>
            </w:tcBorders>
            <w:shd w:val="clear" w:color="auto" w:fill="EDEDED"/>
          </w:tcPr>
          <w:p>
            <w:pPr>
              <w:spacing w:after="0"/>
              <w:rPr>
                <w:sz w:val="13"/>
                <w:szCs w:val="13"/>
                <w:color w:val="auto"/>
              </w:rPr>
            </w:pPr>
          </w:p>
        </w:tc>
        <w:tc>
          <w:tcPr>
            <w:tcW w:w="1080" w:type="dxa"/>
            <w:vAlign w:val="bottom"/>
            <w:tcBorders>
              <w:bottom w:val="single" w:sz="8" w:color="FF0C07"/>
            </w:tcBorders>
          </w:tcPr>
          <w:p>
            <w:pPr>
              <w:spacing w:after="0"/>
              <w:rPr>
                <w:sz w:val="13"/>
                <w:szCs w:val="13"/>
                <w:color w:val="auto"/>
              </w:rPr>
            </w:pPr>
          </w:p>
        </w:tc>
        <w:tc>
          <w:tcPr>
            <w:tcW w:w="1280" w:type="dxa"/>
            <w:vAlign w:val="bottom"/>
            <w:tcBorders>
              <w:bottom w:val="single" w:sz="8" w:color="FF0C07"/>
            </w:tcBorders>
            <w:shd w:val="clear" w:color="auto" w:fill="EDEDED"/>
          </w:tcPr>
          <w:p>
            <w:pPr>
              <w:spacing w:after="0"/>
              <w:rPr>
                <w:sz w:val="13"/>
                <w:szCs w:val="13"/>
                <w:color w:val="auto"/>
              </w:rPr>
            </w:pPr>
          </w:p>
        </w:tc>
        <w:tc>
          <w:tcPr>
            <w:tcW w:w="1380" w:type="dxa"/>
            <w:vAlign w:val="bottom"/>
            <w:tcBorders>
              <w:bottom w:val="single" w:sz="8" w:color="FF0C07"/>
            </w:tcBorders>
          </w:tcPr>
          <w:p>
            <w:pPr>
              <w:spacing w:after="0"/>
              <w:rPr>
                <w:sz w:val="13"/>
                <w:szCs w:val="13"/>
                <w:color w:val="auto"/>
              </w:rPr>
            </w:pPr>
          </w:p>
        </w:tc>
        <w:tc>
          <w:tcPr>
            <w:tcW w:w="1160" w:type="dxa"/>
            <w:vAlign w:val="bottom"/>
            <w:tcBorders>
              <w:bottom w:val="single" w:sz="8" w:color="FF0C07"/>
            </w:tcBorders>
            <w:shd w:val="clear" w:color="auto" w:fill="EDEDED"/>
          </w:tcPr>
          <w:p>
            <w:pPr>
              <w:spacing w:after="0"/>
              <w:rPr>
                <w:sz w:val="13"/>
                <w:szCs w:val="13"/>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Jeffrey P. Hank</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62</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DEDED"/>
          </w:tcPr>
          <w:p>
            <w:pPr>
              <w:ind w:left="520"/>
              <w:spacing w:after="0"/>
              <w:rPr>
                <w:sz w:val="20"/>
                <w:szCs w:val="20"/>
                <w:color w:val="auto"/>
              </w:rPr>
            </w:pPr>
            <w:r>
              <w:rPr>
                <w:rFonts w:ascii="Arial" w:cs="Arial" w:eastAsia="Arial" w:hAnsi="Arial"/>
                <w:sz w:val="18"/>
                <w:szCs w:val="18"/>
                <w:color w:val="auto"/>
              </w:rPr>
              <w:t>CHAIR</w:t>
            </w:r>
          </w:p>
        </w:tc>
        <w:tc>
          <w:tcPr>
            <w:tcW w:w="1380" w:type="dxa"/>
            <w:vAlign w:val="bottom"/>
          </w:tcPr>
          <w:p>
            <w:pPr>
              <w:spacing w:after="0"/>
              <w:rPr>
                <w:sz w:val="24"/>
                <w:szCs w:val="24"/>
                <w:color w:val="auto"/>
              </w:rPr>
            </w:pPr>
          </w:p>
        </w:tc>
        <w:tc>
          <w:tcPr>
            <w:tcW w:w="1160" w:type="dxa"/>
            <w:vAlign w:val="bottom"/>
            <w:shd w:val="clear" w:color="auto" w:fill="EDEDED"/>
          </w:tcPr>
          <w:p>
            <w:pPr>
              <w:spacing w:after="0"/>
              <w:rPr>
                <w:sz w:val="24"/>
                <w:szCs w:val="24"/>
                <w:color w:val="auto"/>
              </w:rPr>
            </w:pPr>
          </w:p>
        </w:tc>
      </w:tr>
      <w:tr>
        <w:trPr>
          <w:trHeight w:val="155"/>
        </w:trPr>
        <w:tc>
          <w:tcPr>
            <w:tcW w:w="3020" w:type="dxa"/>
            <w:vAlign w:val="bottom"/>
            <w:tcBorders>
              <w:bottom w:val="single" w:sz="8" w:color="FF0C07"/>
            </w:tcBorders>
          </w:tcPr>
          <w:p>
            <w:pPr>
              <w:spacing w:after="0"/>
              <w:rPr>
                <w:sz w:val="13"/>
                <w:szCs w:val="13"/>
                <w:color w:val="auto"/>
              </w:rPr>
            </w:pPr>
          </w:p>
        </w:tc>
        <w:tc>
          <w:tcPr>
            <w:tcW w:w="122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tcPr>
          <w:p>
            <w:pPr>
              <w:spacing w:after="0"/>
              <w:rPr>
                <w:sz w:val="13"/>
                <w:szCs w:val="13"/>
                <w:color w:val="auto"/>
              </w:rPr>
            </w:pPr>
          </w:p>
        </w:tc>
        <w:tc>
          <w:tcPr>
            <w:tcW w:w="960" w:type="dxa"/>
            <w:vAlign w:val="bottom"/>
            <w:tcBorders>
              <w:bottom w:val="single" w:sz="8" w:color="FF0C07"/>
            </w:tcBorders>
            <w:shd w:val="clear" w:color="auto" w:fill="EDEDED"/>
          </w:tcPr>
          <w:p>
            <w:pPr>
              <w:spacing w:after="0"/>
              <w:rPr>
                <w:sz w:val="13"/>
                <w:szCs w:val="13"/>
                <w:color w:val="auto"/>
              </w:rPr>
            </w:pPr>
          </w:p>
        </w:tc>
        <w:tc>
          <w:tcPr>
            <w:tcW w:w="1080" w:type="dxa"/>
            <w:vAlign w:val="bottom"/>
            <w:tcBorders>
              <w:bottom w:val="single" w:sz="8" w:color="FF0C07"/>
            </w:tcBorders>
          </w:tcPr>
          <w:p>
            <w:pPr>
              <w:spacing w:after="0"/>
              <w:rPr>
                <w:sz w:val="13"/>
                <w:szCs w:val="13"/>
                <w:color w:val="auto"/>
              </w:rPr>
            </w:pPr>
          </w:p>
        </w:tc>
        <w:tc>
          <w:tcPr>
            <w:tcW w:w="1280" w:type="dxa"/>
            <w:vAlign w:val="bottom"/>
            <w:tcBorders>
              <w:bottom w:val="single" w:sz="8" w:color="FF0C07"/>
            </w:tcBorders>
            <w:shd w:val="clear" w:color="auto" w:fill="EDEDED"/>
          </w:tcPr>
          <w:p>
            <w:pPr>
              <w:spacing w:after="0"/>
              <w:rPr>
                <w:sz w:val="13"/>
                <w:szCs w:val="13"/>
                <w:color w:val="auto"/>
              </w:rPr>
            </w:pPr>
          </w:p>
        </w:tc>
        <w:tc>
          <w:tcPr>
            <w:tcW w:w="1380" w:type="dxa"/>
            <w:vAlign w:val="bottom"/>
            <w:tcBorders>
              <w:bottom w:val="single" w:sz="8" w:color="FF0C07"/>
            </w:tcBorders>
          </w:tcPr>
          <w:p>
            <w:pPr>
              <w:spacing w:after="0"/>
              <w:rPr>
                <w:sz w:val="13"/>
                <w:szCs w:val="13"/>
                <w:color w:val="auto"/>
              </w:rPr>
            </w:pPr>
          </w:p>
        </w:tc>
        <w:tc>
          <w:tcPr>
            <w:tcW w:w="1160" w:type="dxa"/>
            <w:vAlign w:val="bottom"/>
            <w:tcBorders>
              <w:bottom w:val="single" w:sz="8" w:color="FF0C07"/>
            </w:tcBorders>
            <w:shd w:val="clear" w:color="auto" w:fill="EDEDED"/>
          </w:tcPr>
          <w:p>
            <w:pPr>
              <w:spacing w:after="0"/>
              <w:rPr>
                <w:sz w:val="13"/>
                <w:szCs w:val="13"/>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General Peter Pace</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2009</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76</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shd w:val="clear" w:color="auto" w:fill="EDEDED"/>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shd w:val="clear" w:color="auto" w:fill="EDEDED"/>
          </w:tcPr>
          <w:p>
            <w:pPr>
              <w:spacing w:after="0"/>
              <w:rPr>
                <w:sz w:val="24"/>
                <w:szCs w:val="24"/>
                <w:color w:val="auto"/>
              </w:rPr>
            </w:pPr>
          </w:p>
        </w:tc>
      </w:tr>
      <w:tr>
        <w:trPr>
          <w:trHeight w:val="155"/>
        </w:trPr>
        <w:tc>
          <w:tcPr>
            <w:tcW w:w="3020" w:type="dxa"/>
            <w:vAlign w:val="bottom"/>
            <w:tcBorders>
              <w:bottom w:val="single" w:sz="8" w:color="FF0C07"/>
            </w:tcBorders>
          </w:tcPr>
          <w:p>
            <w:pPr>
              <w:spacing w:after="0"/>
              <w:rPr>
                <w:sz w:val="13"/>
                <w:szCs w:val="13"/>
                <w:color w:val="auto"/>
              </w:rPr>
            </w:pPr>
          </w:p>
        </w:tc>
        <w:tc>
          <w:tcPr>
            <w:tcW w:w="122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tcPr>
          <w:p>
            <w:pPr>
              <w:spacing w:after="0"/>
              <w:rPr>
                <w:sz w:val="13"/>
                <w:szCs w:val="13"/>
                <w:color w:val="auto"/>
              </w:rPr>
            </w:pPr>
          </w:p>
        </w:tc>
        <w:tc>
          <w:tcPr>
            <w:tcW w:w="960" w:type="dxa"/>
            <w:vAlign w:val="bottom"/>
            <w:tcBorders>
              <w:bottom w:val="single" w:sz="8" w:color="FF0C07"/>
            </w:tcBorders>
            <w:shd w:val="clear" w:color="auto" w:fill="EDEDED"/>
          </w:tcPr>
          <w:p>
            <w:pPr>
              <w:spacing w:after="0"/>
              <w:rPr>
                <w:sz w:val="13"/>
                <w:szCs w:val="13"/>
                <w:color w:val="auto"/>
              </w:rPr>
            </w:pPr>
          </w:p>
        </w:tc>
        <w:tc>
          <w:tcPr>
            <w:tcW w:w="1080" w:type="dxa"/>
            <w:vAlign w:val="bottom"/>
            <w:tcBorders>
              <w:bottom w:val="single" w:sz="8" w:color="FF0C07"/>
            </w:tcBorders>
          </w:tcPr>
          <w:p>
            <w:pPr>
              <w:spacing w:after="0"/>
              <w:rPr>
                <w:sz w:val="13"/>
                <w:szCs w:val="13"/>
                <w:color w:val="auto"/>
              </w:rPr>
            </w:pPr>
          </w:p>
        </w:tc>
        <w:tc>
          <w:tcPr>
            <w:tcW w:w="1280" w:type="dxa"/>
            <w:vAlign w:val="bottom"/>
            <w:tcBorders>
              <w:bottom w:val="single" w:sz="8" w:color="FF0C07"/>
            </w:tcBorders>
            <w:shd w:val="clear" w:color="auto" w:fill="EDEDED"/>
          </w:tcPr>
          <w:p>
            <w:pPr>
              <w:spacing w:after="0"/>
              <w:rPr>
                <w:sz w:val="13"/>
                <w:szCs w:val="13"/>
                <w:color w:val="auto"/>
              </w:rPr>
            </w:pPr>
          </w:p>
        </w:tc>
        <w:tc>
          <w:tcPr>
            <w:tcW w:w="1380" w:type="dxa"/>
            <w:vAlign w:val="bottom"/>
            <w:tcBorders>
              <w:bottom w:val="single" w:sz="8" w:color="FF0C07"/>
            </w:tcBorders>
          </w:tcPr>
          <w:p>
            <w:pPr>
              <w:spacing w:after="0"/>
              <w:rPr>
                <w:sz w:val="13"/>
                <w:szCs w:val="13"/>
                <w:color w:val="auto"/>
              </w:rPr>
            </w:pPr>
          </w:p>
        </w:tc>
        <w:tc>
          <w:tcPr>
            <w:tcW w:w="1160" w:type="dxa"/>
            <w:vAlign w:val="bottom"/>
            <w:tcBorders>
              <w:bottom w:val="single" w:sz="8" w:color="FF0C07"/>
            </w:tcBorders>
            <w:shd w:val="clear" w:color="auto" w:fill="EDEDED"/>
          </w:tcPr>
          <w:p>
            <w:pPr>
              <w:spacing w:after="0"/>
              <w:rPr>
                <w:sz w:val="13"/>
                <w:szCs w:val="13"/>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Wendy M. Pfeiffer</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56</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DEDED"/>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shd w:val="clear" w:color="auto" w:fill="EDEDED"/>
          </w:tcPr>
          <w:p>
            <w:pPr>
              <w:spacing w:after="0"/>
              <w:rPr>
                <w:sz w:val="24"/>
                <w:szCs w:val="24"/>
                <w:color w:val="auto"/>
              </w:rPr>
            </w:pPr>
          </w:p>
        </w:tc>
      </w:tr>
      <w:tr>
        <w:trPr>
          <w:trHeight w:val="155"/>
        </w:trPr>
        <w:tc>
          <w:tcPr>
            <w:tcW w:w="3020" w:type="dxa"/>
            <w:vAlign w:val="bottom"/>
            <w:tcBorders>
              <w:bottom w:val="single" w:sz="8" w:color="FF0C07"/>
            </w:tcBorders>
          </w:tcPr>
          <w:p>
            <w:pPr>
              <w:spacing w:after="0"/>
              <w:rPr>
                <w:sz w:val="13"/>
                <w:szCs w:val="13"/>
                <w:color w:val="auto"/>
              </w:rPr>
            </w:pPr>
          </w:p>
        </w:tc>
        <w:tc>
          <w:tcPr>
            <w:tcW w:w="122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tcPr>
          <w:p>
            <w:pPr>
              <w:spacing w:after="0"/>
              <w:rPr>
                <w:sz w:val="13"/>
                <w:szCs w:val="13"/>
                <w:color w:val="auto"/>
              </w:rPr>
            </w:pPr>
          </w:p>
        </w:tc>
        <w:tc>
          <w:tcPr>
            <w:tcW w:w="960" w:type="dxa"/>
            <w:vAlign w:val="bottom"/>
            <w:tcBorders>
              <w:bottom w:val="single" w:sz="8" w:color="FF0C07"/>
            </w:tcBorders>
            <w:shd w:val="clear" w:color="auto" w:fill="EDEDED"/>
          </w:tcPr>
          <w:p>
            <w:pPr>
              <w:spacing w:after="0"/>
              <w:rPr>
                <w:sz w:val="13"/>
                <w:szCs w:val="13"/>
                <w:color w:val="auto"/>
              </w:rPr>
            </w:pPr>
          </w:p>
        </w:tc>
        <w:tc>
          <w:tcPr>
            <w:tcW w:w="1080" w:type="dxa"/>
            <w:vAlign w:val="bottom"/>
            <w:tcBorders>
              <w:bottom w:val="single" w:sz="8" w:color="FF0C07"/>
            </w:tcBorders>
          </w:tcPr>
          <w:p>
            <w:pPr>
              <w:spacing w:after="0"/>
              <w:rPr>
                <w:sz w:val="13"/>
                <w:szCs w:val="13"/>
                <w:color w:val="auto"/>
              </w:rPr>
            </w:pPr>
          </w:p>
        </w:tc>
        <w:tc>
          <w:tcPr>
            <w:tcW w:w="1280" w:type="dxa"/>
            <w:vAlign w:val="bottom"/>
            <w:tcBorders>
              <w:bottom w:val="single" w:sz="8" w:color="FF0C07"/>
            </w:tcBorders>
            <w:shd w:val="clear" w:color="auto" w:fill="EDEDED"/>
          </w:tcPr>
          <w:p>
            <w:pPr>
              <w:spacing w:after="0"/>
              <w:rPr>
                <w:sz w:val="13"/>
                <w:szCs w:val="13"/>
                <w:color w:val="auto"/>
              </w:rPr>
            </w:pPr>
          </w:p>
        </w:tc>
        <w:tc>
          <w:tcPr>
            <w:tcW w:w="1380" w:type="dxa"/>
            <w:vAlign w:val="bottom"/>
            <w:tcBorders>
              <w:bottom w:val="single" w:sz="8" w:color="FF0C07"/>
            </w:tcBorders>
          </w:tcPr>
          <w:p>
            <w:pPr>
              <w:spacing w:after="0"/>
              <w:rPr>
                <w:sz w:val="13"/>
                <w:szCs w:val="13"/>
                <w:color w:val="auto"/>
              </w:rPr>
            </w:pPr>
          </w:p>
        </w:tc>
        <w:tc>
          <w:tcPr>
            <w:tcW w:w="1160" w:type="dxa"/>
            <w:vAlign w:val="bottom"/>
            <w:tcBorders>
              <w:bottom w:val="single" w:sz="8" w:color="FF0C07"/>
            </w:tcBorders>
            <w:shd w:val="clear" w:color="auto" w:fill="EDEDED"/>
          </w:tcPr>
          <w:p>
            <w:pPr>
              <w:spacing w:after="0"/>
              <w:rPr>
                <w:sz w:val="13"/>
                <w:szCs w:val="13"/>
                <w:color w:val="auto"/>
              </w:rPr>
            </w:pPr>
          </w:p>
        </w:tc>
      </w:tr>
      <w:tr>
        <w:trPr>
          <w:trHeight w:val="274"/>
        </w:trPr>
        <w:tc>
          <w:tcPr>
            <w:tcW w:w="3020" w:type="dxa"/>
            <w:vAlign w:val="bottom"/>
          </w:tcPr>
          <w:p>
            <w:pPr>
              <w:spacing w:after="0"/>
              <w:rPr>
                <w:sz w:val="20"/>
                <w:szCs w:val="20"/>
                <w:color w:val="auto"/>
              </w:rPr>
            </w:pPr>
            <w:r>
              <w:rPr>
                <w:rFonts w:ascii="Arial" w:cs="Arial" w:eastAsia="Arial" w:hAnsi="Arial"/>
                <w:sz w:val="18"/>
                <w:szCs w:val="18"/>
                <w:color w:val="auto"/>
              </w:rPr>
              <w:t>Sumedh S. Thakar</w:t>
            </w:r>
          </w:p>
        </w:tc>
        <w:tc>
          <w:tcPr>
            <w:tcW w:w="1220" w:type="dxa"/>
            <w:vAlign w:val="bottom"/>
            <w:shd w:val="clear" w:color="auto" w:fill="EDEDED"/>
          </w:tcPr>
          <w:p>
            <w:pPr>
              <w:spacing w:after="0"/>
              <w:rPr>
                <w:sz w:val="23"/>
                <w:szCs w:val="23"/>
                <w:color w:val="auto"/>
              </w:rPr>
            </w:pPr>
          </w:p>
        </w:tc>
        <w:tc>
          <w:tcPr>
            <w:tcW w:w="920" w:type="dxa"/>
            <w:vAlign w:val="bottom"/>
          </w:tcPr>
          <w:p>
            <w:pPr>
              <w:spacing w:after="0"/>
              <w:rPr>
                <w:sz w:val="23"/>
                <w:szCs w:val="23"/>
                <w:color w:val="auto"/>
              </w:rPr>
            </w:pPr>
          </w:p>
        </w:tc>
        <w:tc>
          <w:tcPr>
            <w:tcW w:w="960" w:type="dxa"/>
            <w:vAlign w:val="bottom"/>
            <w:shd w:val="clear" w:color="auto" w:fill="EDEDED"/>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shd w:val="clear" w:color="auto" w:fill="EDEDED"/>
          </w:tcPr>
          <w:p>
            <w:pPr>
              <w:spacing w:after="0"/>
              <w:rPr>
                <w:sz w:val="23"/>
                <w:szCs w:val="23"/>
                <w:color w:val="auto"/>
              </w:rPr>
            </w:pPr>
          </w:p>
        </w:tc>
        <w:tc>
          <w:tcPr>
            <w:tcW w:w="1380" w:type="dxa"/>
            <w:vAlign w:val="bottom"/>
          </w:tcPr>
          <w:p>
            <w:pPr>
              <w:spacing w:after="0"/>
              <w:rPr>
                <w:sz w:val="23"/>
                <w:szCs w:val="23"/>
                <w:color w:val="auto"/>
              </w:rPr>
            </w:pPr>
          </w:p>
        </w:tc>
        <w:tc>
          <w:tcPr>
            <w:tcW w:w="1160" w:type="dxa"/>
            <w:vAlign w:val="bottom"/>
            <w:shd w:val="clear" w:color="auto" w:fill="EDEDED"/>
          </w:tcPr>
          <w:p>
            <w:pPr>
              <w:spacing w:after="0"/>
              <w:rPr>
                <w:sz w:val="23"/>
                <w:szCs w:val="23"/>
                <w:color w:val="auto"/>
              </w:rPr>
            </w:pPr>
          </w:p>
        </w:tc>
      </w:tr>
      <w:tr>
        <w:trPr>
          <w:trHeight w:val="233"/>
        </w:trPr>
        <w:tc>
          <w:tcPr>
            <w:tcW w:w="3020" w:type="dxa"/>
            <w:vAlign w:val="bottom"/>
            <w:tcBorders>
              <w:bottom w:val="single" w:sz="8" w:color="FF0C07"/>
            </w:tcBorders>
          </w:tcPr>
          <w:p>
            <w:pPr>
              <w:ind w:left="180"/>
              <w:spacing w:after="0"/>
              <w:rPr>
                <w:sz w:val="20"/>
                <w:szCs w:val="20"/>
                <w:color w:val="auto"/>
              </w:rPr>
            </w:pPr>
            <w:r>
              <w:rPr>
                <w:rFonts w:ascii="Arial" w:cs="Arial" w:eastAsia="Arial" w:hAnsi="Arial"/>
                <w:sz w:val="18"/>
                <w:szCs w:val="18"/>
                <w:i w:val="1"/>
                <w:iCs w:val="1"/>
                <w:color w:val="auto"/>
              </w:rPr>
              <w:t>President &amp; CEO</w:t>
            </w:r>
          </w:p>
        </w:tc>
        <w:tc>
          <w:tcPr>
            <w:tcW w:w="1220" w:type="dxa"/>
            <w:vAlign w:val="bottom"/>
            <w:tcBorders>
              <w:bottom w:val="single" w:sz="8" w:color="FF0C07"/>
            </w:tcBorders>
            <w:shd w:val="clear" w:color="auto" w:fill="EDEDED"/>
          </w:tcPr>
          <w:p>
            <w:pPr>
              <w:spacing w:after="0"/>
              <w:rPr>
                <w:sz w:val="20"/>
                <w:szCs w:val="20"/>
                <w:color w:val="auto"/>
              </w:rPr>
            </w:pPr>
          </w:p>
        </w:tc>
        <w:tc>
          <w:tcPr>
            <w:tcW w:w="920" w:type="dxa"/>
            <w:vAlign w:val="bottom"/>
            <w:tcBorders>
              <w:bottom w:val="single" w:sz="8" w:color="FF0C07"/>
            </w:tcBorders>
          </w:tcPr>
          <w:p>
            <w:pPr>
              <w:jc w:val="right"/>
              <w:spacing w:after="0"/>
              <w:rPr>
                <w:sz w:val="20"/>
                <w:szCs w:val="20"/>
                <w:color w:val="auto"/>
              </w:rPr>
            </w:pPr>
            <w:r>
              <w:rPr>
                <w:rFonts w:ascii="Arial" w:cs="Arial" w:eastAsia="Arial" w:hAnsi="Arial"/>
                <w:sz w:val="18"/>
                <w:szCs w:val="18"/>
                <w:color w:val="auto"/>
              </w:rPr>
              <w:t>2021</w:t>
            </w:r>
          </w:p>
        </w:tc>
        <w:tc>
          <w:tcPr>
            <w:tcW w:w="960" w:type="dxa"/>
            <w:vAlign w:val="bottom"/>
            <w:tcBorders>
              <w:bottom w:val="single" w:sz="8" w:color="FF0C07"/>
            </w:tcBorders>
            <w:shd w:val="clear" w:color="auto" w:fill="EDEDED"/>
          </w:tcPr>
          <w:p>
            <w:pPr>
              <w:jc w:val="right"/>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FF0C07"/>
            </w:tcBorders>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FF0C07"/>
            </w:tcBorders>
            <w:shd w:val="clear" w:color="auto" w:fill="EDEDED"/>
          </w:tcPr>
          <w:p>
            <w:pPr>
              <w:spacing w:after="0"/>
              <w:rPr>
                <w:sz w:val="20"/>
                <w:szCs w:val="20"/>
                <w:color w:val="auto"/>
              </w:rPr>
            </w:pPr>
          </w:p>
        </w:tc>
        <w:tc>
          <w:tcPr>
            <w:tcW w:w="1380" w:type="dxa"/>
            <w:vAlign w:val="bottom"/>
            <w:tcBorders>
              <w:bottom w:val="single" w:sz="8" w:color="FF0C07"/>
            </w:tcBorders>
          </w:tcPr>
          <w:p>
            <w:pPr>
              <w:spacing w:after="0"/>
              <w:rPr>
                <w:sz w:val="20"/>
                <w:szCs w:val="20"/>
                <w:color w:val="auto"/>
              </w:rPr>
            </w:pPr>
          </w:p>
        </w:tc>
        <w:tc>
          <w:tcPr>
            <w:tcW w:w="1160" w:type="dxa"/>
            <w:vAlign w:val="bottom"/>
            <w:tcBorders>
              <w:bottom w:val="single" w:sz="8" w:color="FF0C07"/>
            </w:tcBorders>
            <w:shd w:val="clear" w:color="auto" w:fill="EDEDED"/>
          </w:tcPr>
          <w:p>
            <w:pPr>
              <w:spacing w:after="0"/>
              <w:rPr>
                <w:sz w:val="20"/>
                <w:szCs w:val="20"/>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John Zangardi</w:t>
            </w:r>
          </w:p>
        </w:tc>
        <w:tc>
          <w:tcPr>
            <w:tcW w:w="1220" w:type="dxa"/>
            <w:vAlign w:val="bottom"/>
            <w:shd w:val="clear" w:color="auto" w:fill="EDEDED"/>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2020</w:t>
            </w:r>
          </w:p>
        </w:tc>
        <w:tc>
          <w:tcPr>
            <w:tcW w:w="9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61</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DEDED"/>
          </w:tcPr>
          <w:p>
            <w:pPr>
              <w:spacing w:after="0"/>
              <w:rPr>
                <w:sz w:val="24"/>
                <w:szCs w:val="24"/>
                <w:color w:val="auto"/>
              </w:rPr>
            </w:pPr>
          </w:p>
        </w:tc>
        <w:tc>
          <w:tcPr>
            <w:tcW w:w="1380" w:type="dxa"/>
            <w:vAlign w:val="bottom"/>
          </w:tcPr>
          <w:p>
            <w:pPr>
              <w:ind w:left="580"/>
              <w:spacing w:after="0"/>
              <w:rPr>
                <w:sz w:val="20"/>
                <w:szCs w:val="20"/>
                <w:color w:val="auto"/>
              </w:rPr>
            </w:pPr>
            <w:r>
              <w:rPr>
                <w:rFonts w:ascii="Arial" w:cs="Arial" w:eastAsia="Arial" w:hAnsi="Arial"/>
                <w:sz w:val="18"/>
                <w:szCs w:val="18"/>
                <w:color w:val="auto"/>
              </w:rPr>
              <w:t>CHAIR</w:t>
            </w:r>
          </w:p>
        </w:tc>
        <w:tc>
          <w:tcPr>
            <w:tcW w:w="1160" w:type="dxa"/>
            <w:vAlign w:val="bottom"/>
            <w:shd w:val="clear" w:color="auto" w:fill="EDEDED"/>
          </w:tcPr>
          <w:p>
            <w:pPr>
              <w:spacing w:after="0"/>
              <w:rPr>
                <w:sz w:val="24"/>
                <w:szCs w:val="24"/>
                <w:color w:val="auto"/>
              </w:rPr>
            </w:pPr>
          </w:p>
        </w:tc>
      </w:tr>
      <w:tr>
        <w:trPr>
          <w:trHeight w:val="163"/>
        </w:trPr>
        <w:tc>
          <w:tcPr>
            <w:tcW w:w="3020" w:type="dxa"/>
            <w:vAlign w:val="bottom"/>
            <w:tcBorders>
              <w:bottom w:val="single" w:sz="8" w:color="FF0C07"/>
            </w:tcBorders>
          </w:tcPr>
          <w:p>
            <w:pPr>
              <w:spacing w:after="0"/>
              <w:rPr>
                <w:sz w:val="14"/>
                <w:szCs w:val="14"/>
                <w:color w:val="auto"/>
              </w:rPr>
            </w:pPr>
          </w:p>
        </w:tc>
        <w:tc>
          <w:tcPr>
            <w:tcW w:w="1220" w:type="dxa"/>
            <w:vAlign w:val="bottom"/>
            <w:tcBorders>
              <w:bottom w:val="single" w:sz="8" w:color="FF0C07"/>
            </w:tcBorders>
            <w:shd w:val="clear" w:color="auto" w:fill="EDEDED"/>
          </w:tcPr>
          <w:p>
            <w:pPr>
              <w:spacing w:after="0"/>
              <w:rPr>
                <w:sz w:val="14"/>
                <w:szCs w:val="14"/>
                <w:color w:val="auto"/>
              </w:rPr>
            </w:pPr>
          </w:p>
        </w:tc>
        <w:tc>
          <w:tcPr>
            <w:tcW w:w="920" w:type="dxa"/>
            <w:vAlign w:val="bottom"/>
            <w:tcBorders>
              <w:bottom w:val="single" w:sz="8" w:color="FF0C07"/>
            </w:tcBorders>
          </w:tcPr>
          <w:p>
            <w:pPr>
              <w:spacing w:after="0"/>
              <w:rPr>
                <w:sz w:val="14"/>
                <w:szCs w:val="14"/>
                <w:color w:val="auto"/>
              </w:rPr>
            </w:pPr>
          </w:p>
        </w:tc>
        <w:tc>
          <w:tcPr>
            <w:tcW w:w="960" w:type="dxa"/>
            <w:vAlign w:val="bottom"/>
            <w:tcBorders>
              <w:bottom w:val="single" w:sz="8" w:color="FF0C07"/>
            </w:tcBorders>
            <w:shd w:val="clear" w:color="auto" w:fill="EDEDED"/>
          </w:tcPr>
          <w:p>
            <w:pPr>
              <w:spacing w:after="0"/>
              <w:rPr>
                <w:sz w:val="14"/>
                <w:szCs w:val="14"/>
                <w:color w:val="auto"/>
              </w:rPr>
            </w:pPr>
          </w:p>
        </w:tc>
        <w:tc>
          <w:tcPr>
            <w:tcW w:w="1080" w:type="dxa"/>
            <w:vAlign w:val="bottom"/>
            <w:tcBorders>
              <w:bottom w:val="single" w:sz="8" w:color="FF0C07"/>
            </w:tcBorders>
          </w:tcPr>
          <w:p>
            <w:pPr>
              <w:spacing w:after="0"/>
              <w:rPr>
                <w:sz w:val="14"/>
                <w:szCs w:val="14"/>
                <w:color w:val="auto"/>
              </w:rPr>
            </w:pPr>
          </w:p>
        </w:tc>
        <w:tc>
          <w:tcPr>
            <w:tcW w:w="1280" w:type="dxa"/>
            <w:vAlign w:val="bottom"/>
            <w:tcBorders>
              <w:bottom w:val="single" w:sz="8" w:color="FF0C07"/>
            </w:tcBorders>
            <w:shd w:val="clear" w:color="auto" w:fill="EDEDED"/>
          </w:tcPr>
          <w:p>
            <w:pPr>
              <w:spacing w:after="0"/>
              <w:rPr>
                <w:sz w:val="14"/>
                <w:szCs w:val="14"/>
                <w:color w:val="auto"/>
              </w:rPr>
            </w:pPr>
          </w:p>
        </w:tc>
        <w:tc>
          <w:tcPr>
            <w:tcW w:w="1380" w:type="dxa"/>
            <w:vAlign w:val="bottom"/>
            <w:tcBorders>
              <w:bottom w:val="single" w:sz="8" w:color="FF0C07"/>
            </w:tcBorders>
          </w:tcPr>
          <w:p>
            <w:pPr>
              <w:spacing w:after="0"/>
              <w:rPr>
                <w:sz w:val="14"/>
                <w:szCs w:val="14"/>
                <w:color w:val="auto"/>
              </w:rPr>
            </w:pPr>
          </w:p>
        </w:tc>
        <w:tc>
          <w:tcPr>
            <w:tcW w:w="1160" w:type="dxa"/>
            <w:vAlign w:val="bottom"/>
            <w:tcBorders>
              <w:bottom w:val="single" w:sz="8" w:color="FF0C07"/>
            </w:tcBorders>
            <w:shd w:val="clear" w:color="auto" w:fill="EDEDED"/>
          </w:tcPr>
          <w:p>
            <w:pPr>
              <w:spacing w:after="0"/>
              <w:rPr>
                <w:sz w:val="14"/>
                <w:szCs w:val="14"/>
                <w:color w:val="auto"/>
              </w:rPr>
            </w:pPr>
          </w:p>
        </w:tc>
      </w:tr>
      <w:tr>
        <w:trPr>
          <w:trHeight w:val="368"/>
        </w:trPr>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color w:val="auto"/>
              </w:rPr>
              <w:t>8</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-2625090</wp:posOffset>
            </wp:positionV>
            <wp:extent cx="11112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-2162175</wp:posOffset>
            </wp:positionV>
            <wp:extent cx="11112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-1502410</wp:posOffset>
            </wp:positionV>
            <wp:extent cx="11112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-1544955</wp:posOffset>
            </wp:positionV>
            <wp:extent cx="16319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-1202055</wp:posOffset>
            </wp:positionV>
            <wp:extent cx="16319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-1202055</wp:posOffset>
            </wp:positionV>
            <wp:extent cx="1631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-525145</wp:posOffset>
            </wp:positionV>
            <wp:extent cx="16319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Composition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163195</wp:posOffset>
            </wp:positionV>
            <wp:extent cx="3943350" cy="3651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 (as of April 21,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6360" w:type="dxa"/>
            <w:vAlign w:val="bottom"/>
            <w:shd w:val="clear" w:color="auto" w:fill="FF0C07"/>
          </w:tcPr>
          <w:p>
            <w:pPr>
              <w:spacing w:after="0"/>
              <w:rPr>
                <w:sz w:val="20"/>
                <w:szCs w:val="20"/>
                <w:color w:val="auto"/>
              </w:rPr>
            </w:pPr>
            <w:r>
              <w:rPr>
                <w:rFonts w:ascii="Arial" w:cs="Arial" w:eastAsia="Arial" w:hAnsi="Arial"/>
                <w:sz w:val="18"/>
                <w:szCs w:val="18"/>
                <w:b w:val="1"/>
                <w:bCs w:val="1"/>
                <w:color w:val="FFFFFF"/>
              </w:rPr>
              <w:t>Total Number of Directors</w:t>
            </w:r>
          </w:p>
        </w:tc>
        <w:tc>
          <w:tcPr>
            <w:tcW w:w="1060" w:type="dxa"/>
            <w:vAlign w:val="bottom"/>
            <w:shd w:val="clear" w:color="auto" w:fill="FF0C07"/>
          </w:tcPr>
          <w:p>
            <w:pPr>
              <w:spacing w:after="0"/>
              <w:rPr>
                <w:sz w:val="24"/>
                <w:szCs w:val="24"/>
                <w:color w:val="auto"/>
              </w:rPr>
            </w:pPr>
          </w:p>
        </w:tc>
        <w:tc>
          <w:tcPr>
            <w:tcW w:w="800" w:type="dxa"/>
            <w:vAlign w:val="bottom"/>
            <w:shd w:val="clear" w:color="auto" w:fill="FF0C07"/>
          </w:tcPr>
          <w:p>
            <w:pPr>
              <w:spacing w:after="0"/>
              <w:rPr>
                <w:sz w:val="24"/>
                <w:szCs w:val="24"/>
                <w:color w:val="auto"/>
              </w:rPr>
            </w:pPr>
          </w:p>
        </w:tc>
        <w:tc>
          <w:tcPr>
            <w:tcW w:w="1280" w:type="dxa"/>
            <w:vAlign w:val="bottom"/>
            <w:shd w:val="clear" w:color="auto" w:fill="FF0C07"/>
          </w:tcPr>
          <w:p>
            <w:pPr>
              <w:ind w:left="460"/>
              <w:spacing w:after="0"/>
              <w:rPr>
                <w:sz w:val="20"/>
                <w:szCs w:val="20"/>
                <w:color w:val="auto"/>
              </w:rPr>
            </w:pPr>
            <w:r>
              <w:rPr>
                <w:rFonts w:ascii="Arial" w:cs="Arial" w:eastAsia="Arial" w:hAnsi="Arial"/>
                <w:sz w:val="18"/>
                <w:szCs w:val="18"/>
                <w:b w:val="1"/>
                <w:bCs w:val="1"/>
                <w:color w:val="FFFFFF"/>
              </w:rPr>
              <w:t>8</w:t>
            </w:r>
          </w:p>
        </w:tc>
        <w:tc>
          <w:tcPr>
            <w:tcW w:w="1280" w:type="dxa"/>
            <w:vAlign w:val="bottom"/>
            <w:shd w:val="clear" w:color="auto" w:fill="FF0C07"/>
          </w:tcPr>
          <w:p>
            <w:pPr>
              <w:spacing w:after="0"/>
              <w:rPr>
                <w:sz w:val="24"/>
                <w:szCs w:val="24"/>
                <w:color w:val="auto"/>
              </w:rPr>
            </w:pPr>
          </w:p>
        </w:tc>
      </w:tr>
      <w:tr>
        <w:trPr>
          <w:trHeight w:val="110"/>
        </w:trPr>
        <w:tc>
          <w:tcPr>
            <w:tcW w:w="6360" w:type="dxa"/>
            <w:vAlign w:val="bottom"/>
            <w:shd w:val="clear" w:color="auto" w:fill="FF0C07"/>
          </w:tcPr>
          <w:p>
            <w:pPr>
              <w:spacing w:after="0"/>
              <w:rPr>
                <w:sz w:val="9"/>
                <w:szCs w:val="9"/>
                <w:color w:val="auto"/>
              </w:rPr>
            </w:pPr>
          </w:p>
        </w:tc>
        <w:tc>
          <w:tcPr>
            <w:tcW w:w="1060" w:type="dxa"/>
            <w:vAlign w:val="bottom"/>
            <w:shd w:val="clear" w:color="auto" w:fill="FF0C07"/>
          </w:tcPr>
          <w:p>
            <w:pPr>
              <w:spacing w:after="0"/>
              <w:rPr>
                <w:sz w:val="9"/>
                <w:szCs w:val="9"/>
                <w:color w:val="auto"/>
              </w:rPr>
            </w:pPr>
          </w:p>
        </w:tc>
        <w:tc>
          <w:tcPr>
            <w:tcW w:w="800" w:type="dxa"/>
            <w:vAlign w:val="bottom"/>
            <w:shd w:val="clear" w:color="auto" w:fill="FF0C07"/>
          </w:tcPr>
          <w:p>
            <w:pPr>
              <w:spacing w:after="0"/>
              <w:rPr>
                <w:sz w:val="9"/>
                <w:szCs w:val="9"/>
                <w:color w:val="auto"/>
              </w:rPr>
            </w:pPr>
          </w:p>
        </w:tc>
        <w:tc>
          <w:tcPr>
            <w:tcW w:w="1280" w:type="dxa"/>
            <w:vAlign w:val="bottom"/>
            <w:shd w:val="clear" w:color="auto" w:fill="FF0C07"/>
          </w:tcPr>
          <w:p>
            <w:pPr>
              <w:spacing w:after="0"/>
              <w:rPr>
                <w:sz w:val="9"/>
                <w:szCs w:val="9"/>
                <w:color w:val="auto"/>
              </w:rPr>
            </w:pPr>
          </w:p>
        </w:tc>
        <w:tc>
          <w:tcPr>
            <w:tcW w:w="1280" w:type="dxa"/>
            <w:vAlign w:val="bottom"/>
            <w:shd w:val="clear" w:color="auto" w:fill="FF0C07"/>
          </w:tcPr>
          <w:p>
            <w:pPr>
              <w:spacing w:after="0"/>
              <w:rPr>
                <w:sz w:val="9"/>
                <w:szCs w:val="9"/>
                <w:color w:val="auto"/>
              </w:rPr>
            </w:pPr>
          </w:p>
        </w:tc>
      </w:tr>
      <w:tr>
        <w:trPr>
          <w:trHeight w:val="229"/>
        </w:trPr>
        <w:tc>
          <w:tcPr>
            <w:tcW w:w="6360" w:type="dxa"/>
            <w:vAlign w:val="bottom"/>
            <w:shd w:val="clear" w:color="auto" w:fill="567A9E"/>
          </w:tcPr>
          <w:p>
            <w:pPr>
              <w:spacing w:after="0"/>
              <w:rPr>
                <w:sz w:val="20"/>
                <w:szCs w:val="20"/>
                <w:color w:val="auto"/>
              </w:rPr>
            </w:pPr>
            <w:r>
              <w:rPr>
                <w:rFonts w:ascii="Arial" w:cs="Arial" w:eastAsia="Arial" w:hAnsi="Arial"/>
                <w:sz w:val="14"/>
                <w:szCs w:val="14"/>
                <w:b w:val="1"/>
                <w:bCs w:val="1"/>
                <w:color w:val="FFFFFF"/>
              </w:rPr>
              <w:t>Gender Identity</w:t>
            </w:r>
          </w:p>
        </w:tc>
        <w:tc>
          <w:tcPr>
            <w:tcW w:w="1060" w:type="dxa"/>
            <w:vAlign w:val="bottom"/>
            <w:shd w:val="clear" w:color="auto" w:fill="567A9E"/>
          </w:tcPr>
          <w:p>
            <w:pPr>
              <w:jc w:val="right"/>
              <w:ind w:right="168"/>
              <w:spacing w:after="0"/>
              <w:rPr>
                <w:sz w:val="20"/>
                <w:szCs w:val="20"/>
                <w:color w:val="auto"/>
              </w:rPr>
            </w:pPr>
            <w:r>
              <w:rPr>
                <w:rFonts w:ascii="Arial" w:cs="Arial" w:eastAsia="Arial" w:hAnsi="Arial"/>
                <w:sz w:val="14"/>
                <w:szCs w:val="14"/>
                <w:b w:val="1"/>
                <w:bCs w:val="1"/>
                <w:color w:val="FFFFFF"/>
              </w:rPr>
              <w:t>Female</w:t>
            </w:r>
          </w:p>
        </w:tc>
        <w:tc>
          <w:tcPr>
            <w:tcW w:w="800" w:type="dxa"/>
            <w:vAlign w:val="bottom"/>
            <w:shd w:val="clear" w:color="auto" w:fill="567A9E"/>
          </w:tcPr>
          <w:p>
            <w:pPr>
              <w:jc w:val="center"/>
              <w:spacing w:after="0"/>
              <w:rPr>
                <w:sz w:val="20"/>
                <w:szCs w:val="20"/>
                <w:color w:val="auto"/>
              </w:rPr>
            </w:pPr>
            <w:r>
              <w:rPr>
                <w:rFonts w:ascii="Arial" w:cs="Arial" w:eastAsia="Arial" w:hAnsi="Arial"/>
                <w:sz w:val="14"/>
                <w:szCs w:val="14"/>
                <w:b w:val="1"/>
                <w:bCs w:val="1"/>
                <w:color w:val="FFFFFF"/>
              </w:rPr>
              <w:t>Male</w:t>
            </w:r>
          </w:p>
        </w:tc>
        <w:tc>
          <w:tcPr>
            <w:tcW w:w="1280" w:type="dxa"/>
            <w:vAlign w:val="bottom"/>
            <w:shd w:val="clear" w:color="auto" w:fill="567A9E"/>
          </w:tcPr>
          <w:p>
            <w:pPr>
              <w:ind w:left="240"/>
              <w:spacing w:after="0"/>
              <w:rPr>
                <w:sz w:val="20"/>
                <w:szCs w:val="20"/>
                <w:color w:val="auto"/>
              </w:rPr>
            </w:pPr>
            <w:r>
              <w:rPr>
                <w:rFonts w:ascii="Arial" w:cs="Arial" w:eastAsia="Arial" w:hAnsi="Arial"/>
                <w:sz w:val="14"/>
                <w:szCs w:val="14"/>
                <w:b w:val="1"/>
                <w:bCs w:val="1"/>
                <w:color w:val="FFFFFF"/>
              </w:rPr>
              <w:t>Non-Binary</w:t>
            </w:r>
          </w:p>
        </w:tc>
        <w:tc>
          <w:tcPr>
            <w:tcW w:w="1280" w:type="dxa"/>
            <w:vAlign w:val="bottom"/>
            <w:shd w:val="clear" w:color="auto" w:fill="567A9E"/>
          </w:tcPr>
          <w:p>
            <w:pPr>
              <w:ind w:left="260"/>
              <w:spacing w:after="0"/>
              <w:rPr>
                <w:sz w:val="20"/>
                <w:szCs w:val="20"/>
                <w:color w:val="auto"/>
              </w:rPr>
            </w:pPr>
            <w:r>
              <w:rPr>
                <w:rFonts w:ascii="Arial" w:cs="Arial" w:eastAsia="Arial" w:hAnsi="Arial"/>
                <w:sz w:val="14"/>
                <w:szCs w:val="14"/>
                <w:b w:val="1"/>
                <w:bCs w:val="1"/>
                <w:color w:val="FFFFFF"/>
              </w:rPr>
              <w:t>Not Disclosed</w:t>
            </w:r>
          </w:p>
        </w:tc>
      </w:tr>
      <w:tr>
        <w:trPr>
          <w:trHeight w:val="230"/>
        </w:trPr>
        <w:tc>
          <w:tcPr>
            <w:tcW w:w="6360" w:type="dxa"/>
            <w:vAlign w:val="bottom"/>
          </w:tcPr>
          <w:p>
            <w:pPr>
              <w:spacing w:after="0"/>
              <w:rPr>
                <w:sz w:val="20"/>
                <w:szCs w:val="20"/>
                <w:color w:val="auto"/>
              </w:rPr>
            </w:pPr>
            <w:r>
              <w:rPr>
                <w:rFonts w:ascii="Arial" w:cs="Arial" w:eastAsia="Arial" w:hAnsi="Arial"/>
                <w:sz w:val="14"/>
                <w:szCs w:val="14"/>
                <w:b w:val="1"/>
                <w:bCs w:val="1"/>
                <w:color w:val="auto"/>
              </w:rPr>
              <w:t>Number of Directors based on Gender Identity</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3</w:t>
            </w:r>
          </w:p>
        </w:tc>
        <w:tc>
          <w:tcPr>
            <w:tcW w:w="800" w:type="dxa"/>
            <w:vAlign w:val="bottom"/>
          </w:tcPr>
          <w:p>
            <w:pPr>
              <w:jc w:val="center"/>
              <w:spacing w:after="0"/>
              <w:rPr>
                <w:sz w:val="20"/>
                <w:szCs w:val="20"/>
                <w:color w:val="auto"/>
              </w:rPr>
            </w:pPr>
            <w:r>
              <w:rPr>
                <w:rFonts w:ascii="Arial" w:cs="Arial" w:eastAsia="Arial" w:hAnsi="Arial"/>
                <w:sz w:val="14"/>
                <w:szCs w:val="14"/>
                <w:color w:val="auto"/>
              </w:rPr>
              <w:t>5</w:t>
            </w:r>
          </w:p>
        </w:tc>
        <w:tc>
          <w:tcPr>
            <w:tcW w:w="1280" w:type="dxa"/>
            <w:vAlign w:val="bottom"/>
          </w:tcPr>
          <w:p>
            <w:pPr>
              <w:ind w:left="500"/>
              <w:spacing w:after="0"/>
              <w:rPr>
                <w:sz w:val="20"/>
                <w:szCs w:val="20"/>
                <w:color w:val="auto"/>
              </w:rPr>
            </w:pPr>
            <w:r>
              <w:rPr>
                <w:rFonts w:ascii="Arial" w:cs="Arial" w:eastAsia="Arial" w:hAnsi="Arial"/>
                <w:sz w:val="14"/>
                <w:szCs w:val="14"/>
                <w:color w:val="auto"/>
              </w:rPr>
              <w:t>—</w:t>
            </w:r>
          </w:p>
        </w:tc>
        <w:tc>
          <w:tcPr>
            <w:tcW w:w="1280" w:type="dxa"/>
            <w:vAlign w:val="bottom"/>
          </w:tcPr>
          <w:p>
            <w:pPr>
              <w:ind w:left="620"/>
              <w:spacing w:after="0"/>
              <w:rPr>
                <w:sz w:val="20"/>
                <w:szCs w:val="20"/>
                <w:color w:val="auto"/>
              </w:rPr>
            </w:pPr>
            <w:r>
              <w:rPr>
                <w:rFonts w:ascii="Arial" w:cs="Arial" w:eastAsia="Arial" w:hAnsi="Arial"/>
                <w:sz w:val="14"/>
                <w:szCs w:val="14"/>
                <w:color w:val="auto"/>
              </w:rPr>
              <w:t>—</w:t>
            </w:r>
          </w:p>
        </w:tc>
      </w:tr>
      <w:tr>
        <w:trPr>
          <w:trHeight w:val="220"/>
        </w:trPr>
        <w:tc>
          <w:tcPr>
            <w:tcW w:w="6360" w:type="dxa"/>
            <w:vAlign w:val="bottom"/>
            <w:shd w:val="clear" w:color="auto" w:fill="429BFF"/>
          </w:tcPr>
          <w:p>
            <w:pPr>
              <w:spacing w:after="0"/>
              <w:rPr>
                <w:sz w:val="20"/>
                <w:szCs w:val="20"/>
                <w:color w:val="auto"/>
              </w:rPr>
            </w:pPr>
            <w:r>
              <w:rPr>
                <w:rFonts w:ascii="Arial" w:cs="Arial" w:eastAsia="Arial" w:hAnsi="Arial"/>
                <w:sz w:val="14"/>
                <w:szCs w:val="14"/>
                <w:b w:val="1"/>
                <w:bCs w:val="1"/>
                <w:color w:val="FFFFFF"/>
              </w:rPr>
              <w:t>Number of Directors who identify</w:t>
            </w:r>
          </w:p>
        </w:tc>
        <w:tc>
          <w:tcPr>
            <w:tcW w:w="1060" w:type="dxa"/>
            <w:vAlign w:val="bottom"/>
            <w:shd w:val="clear" w:color="auto" w:fill="429BFF"/>
          </w:tcPr>
          <w:p>
            <w:pPr>
              <w:spacing w:after="0"/>
              <w:rPr>
                <w:sz w:val="19"/>
                <w:szCs w:val="19"/>
                <w:color w:val="auto"/>
              </w:rPr>
            </w:pPr>
          </w:p>
        </w:tc>
        <w:tc>
          <w:tcPr>
            <w:tcW w:w="800" w:type="dxa"/>
            <w:vAlign w:val="bottom"/>
            <w:shd w:val="clear" w:color="auto" w:fill="429BFF"/>
          </w:tcPr>
          <w:p>
            <w:pPr>
              <w:spacing w:after="0"/>
              <w:rPr>
                <w:sz w:val="19"/>
                <w:szCs w:val="19"/>
                <w:color w:val="auto"/>
              </w:rPr>
            </w:pPr>
          </w:p>
        </w:tc>
        <w:tc>
          <w:tcPr>
            <w:tcW w:w="1280" w:type="dxa"/>
            <w:vAlign w:val="bottom"/>
            <w:shd w:val="clear" w:color="auto" w:fill="429BFF"/>
          </w:tcPr>
          <w:p>
            <w:pPr>
              <w:spacing w:after="0"/>
              <w:rPr>
                <w:sz w:val="19"/>
                <w:szCs w:val="19"/>
                <w:color w:val="auto"/>
              </w:rPr>
            </w:pPr>
          </w:p>
        </w:tc>
        <w:tc>
          <w:tcPr>
            <w:tcW w:w="1280" w:type="dxa"/>
            <w:vAlign w:val="bottom"/>
            <w:shd w:val="clear" w:color="auto" w:fill="429BFF"/>
          </w:tcPr>
          <w:p>
            <w:pPr>
              <w:spacing w:after="0"/>
              <w:rPr>
                <w:sz w:val="19"/>
                <w:szCs w:val="19"/>
                <w:color w:val="auto"/>
              </w:rPr>
            </w:pPr>
          </w:p>
        </w:tc>
      </w:tr>
      <w:tr>
        <w:trPr>
          <w:trHeight w:val="171"/>
        </w:trPr>
        <w:tc>
          <w:tcPr>
            <w:tcW w:w="6360" w:type="dxa"/>
            <w:vAlign w:val="bottom"/>
            <w:shd w:val="clear" w:color="auto" w:fill="429BFF"/>
          </w:tcPr>
          <w:p>
            <w:pPr>
              <w:spacing w:after="0"/>
              <w:rPr>
                <w:sz w:val="20"/>
                <w:szCs w:val="20"/>
                <w:color w:val="auto"/>
              </w:rPr>
            </w:pPr>
            <w:r>
              <w:rPr>
                <w:rFonts w:ascii="Arial" w:cs="Arial" w:eastAsia="Arial" w:hAnsi="Arial"/>
                <w:sz w:val="14"/>
                <w:szCs w:val="14"/>
                <w:b w:val="1"/>
                <w:bCs w:val="1"/>
                <w:color w:val="FFFFFF"/>
              </w:rPr>
              <w:t>in any categories below:</w:t>
            </w:r>
          </w:p>
        </w:tc>
        <w:tc>
          <w:tcPr>
            <w:tcW w:w="1060" w:type="dxa"/>
            <w:vAlign w:val="bottom"/>
            <w:shd w:val="clear" w:color="auto" w:fill="429BFF"/>
          </w:tcPr>
          <w:p>
            <w:pPr>
              <w:spacing w:after="0"/>
              <w:rPr>
                <w:sz w:val="14"/>
                <w:szCs w:val="14"/>
                <w:color w:val="auto"/>
              </w:rPr>
            </w:pPr>
          </w:p>
        </w:tc>
        <w:tc>
          <w:tcPr>
            <w:tcW w:w="800" w:type="dxa"/>
            <w:vAlign w:val="bottom"/>
            <w:shd w:val="clear" w:color="auto" w:fill="429BFF"/>
          </w:tcPr>
          <w:p>
            <w:pPr>
              <w:spacing w:after="0"/>
              <w:rPr>
                <w:sz w:val="14"/>
                <w:szCs w:val="14"/>
                <w:color w:val="auto"/>
              </w:rPr>
            </w:pPr>
          </w:p>
        </w:tc>
        <w:tc>
          <w:tcPr>
            <w:tcW w:w="1280" w:type="dxa"/>
            <w:vAlign w:val="bottom"/>
            <w:shd w:val="clear" w:color="auto" w:fill="429BFF"/>
          </w:tcPr>
          <w:p>
            <w:pPr>
              <w:spacing w:after="0"/>
              <w:rPr>
                <w:sz w:val="14"/>
                <w:szCs w:val="14"/>
                <w:color w:val="auto"/>
              </w:rPr>
            </w:pPr>
          </w:p>
        </w:tc>
        <w:tc>
          <w:tcPr>
            <w:tcW w:w="1280" w:type="dxa"/>
            <w:vAlign w:val="bottom"/>
            <w:shd w:val="clear" w:color="auto" w:fill="429BFF"/>
          </w:tcPr>
          <w:p>
            <w:pPr>
              <w:spacing w:after="0"/>
              <w:rPr>
                <w:sz w:val="14"/>
                <w:szCs w:val="14"/>
                <w:color w:val="auto"/>
              </w:rPr>
            </w:pPr>
          </w:p>
        </w:tc>
      </w:tr>
      <w:tr>
        <w:trPr>
          <w:trHeight w:val="255"/>
        </w:trPr>
        <w:tc>
          <w:tcPr>
            <w:tcW w:w="6360" w:type="dxa"/>
            <w:vAlign w:val="bottom"/>
          </w:tcPr>
          <w:p>
            <w:pPr>
              <w:spacing w:after="0"/>
              <w:rPr>
                <w:sz w:val="20"/>
                <w:szCs w:val="20"/>
                <w:color w:val="auto"/>
              </w:rPr>
            </w:pPr>
            <w:r>
              <w:rPr>
                <w:rFonts w:ascii="Arial" w:cs="Arial" w:eastAsia="Arial" w:hAnsi="Arial"/>
                <w:sz w:val="14"/>
                <w:szCs w:val="14"/>
                <w:b w:val="1"/>
                <w:bCs w:val="1"/>
                <w:color w:val="auto"/>
              </w:rPr>
              <w:t>Asian</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1</w:t>
            </w:r>
          </w:p>
        </w:tc>
        <w:tc>
          <w:tcPr>
            <w:tcW w:w="1280" w:type="dxa"/>
            <w:vAlign w:val="bottom"/>
          </w:tcPr>
          <w:p>
            <w:pPr>
              <w:ind w:left="500"/>
              <w:spacing w:after="0"/>
              <w:rPr>
                <w:sz w:val="20"/>
                <w:szCs w:val="20"/>
                <w:color w:val="auto"/>
              </w:rPr>
            </w:pPr>
            <w:r>
              <w:rPr>
                <w:rFonts w:ascii="Arial" w:cs="Arial" w:eastAsia="Arial" w:hAnsi="Arial"/>
                <w:sz w:val="14"/>
                <w:szCs w:val="14"/>
                <w:color w:val="auto"/>
              </w:rPr>
              <w:t>—</w:t>
            </w:r>
          </w:p>
        </w:tc>
        <w:tc>
          <w:tcPr>
            <w:tcW w:w="1280" w:type="dxa"/>
            <w:vAlign w:val="bottom"/>
          </w:tcPr>
          <w:p>
            <w:pPr>
              <w:ind w:left="620"/>
              <w:spacing w:after="0"/>
              <w:rPr>
                <w:sz w:val="20"/>
                <w:szCs w:val="20"/>
                <w:color w:val="auto"/>
              </w:rPr>
            </w:pPr>
            <w:r>
              <w:rPr>
                <w:rFonts w:ascii="Arial" w:cs="Arial" w:eastAsia="Arial" w:hAnsi="Arial"/>
                <w:sz w:val="14"/>
                <w:szCs w:val="14"/>
                <w:color w:val="auto"/>
              </w:rPr>
              <w:t>—</w:t>
            </w:r>
          </w:p>
        </w:tc>
      </w:tr>
      <w:tr>
        <w:trPr>
          <w:trHeight w:val="229"/>
        </w:trPr>
        <w:tc>
          <w:tcPr>
            <w:tcW w:w="6360" w:type="dxa"/>
            <w:vAlign w:val="bottom"/>
          </w:tcPr>
          <w:p>
            <w:pPr>
              <w:spacing w:after="0"/>
              <w:rPr>
                <w:sz w:val="20"/>
                <w:szCs w:val="20"/>
                <w:color w:val="auto"/>
              </w:rPr>
            </w:pPr>
            <w:r>
              <w:rPr>
                <w:rFonts w:ascii="Arial" w:cs="Arial" w:eastAsia="Arial" w:hAnsi="Arial"/>
                <w:sz w:val="14"/>
                <w:szCs w:val="14"/>
                <w:b w:val="1"/>
                <w:bCs w:val="1"/>
                <w:color w:val="auto"/>
              </w:rPr>
              <w:t>White</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3</w:t>
            </w:r>
          </w:p>
        </w:tc>
        <w:tc>
          <w:tcPr>
            <w:tcW w:w="800" w:type="dxa"/>
            <w:vAlign w:val="bottom"/>
          </w:tcPr>
          <w:p>
            <w:pPr>
              <w:jc w:val="center"/>
              <w:spacing w:after="0"/>
              <w:rPr>
                <w:sz w:val="20"/>
                <w:szCs w:val="20"/>
                <w:color w:val="auto"/>
              </w:rPr>
            </w:pPr>
            <w:r>
              <w:rPr>
                <w:rFonts w:ascii="Arial" w:cs="Arial" w:eastAsia="Arial" w:hAnsi="Arial"/>
                <w:sz w:val="14"/>
                <w:szCs w:val="14"/>
                <w:color w:val="auto"/>
              </w:rPr>
              <w:t>4</w:t>
            </w:r>
          </w:p>
        </w:tc>
        <w:tc>
          <w:tcPr>
            <w:tcW w:w="1280" w:type="dxa"/>
            <w:vAlign w:val="bottom"/>
          </w:tcPr>
          <w:p>
            <w:pPr>
              <w:ind w:left="500"/>
              <w:spacing w:after="0"/>
              <w:rPr>
                <w:sz w:val="20"/>
                <w:szCs w:val="20"/>
                <w:color w:val="auto"/>
              </w:rPr>
            </w:pPr>
            <w:r>
              <w:rPr>
                <w:rFonts w:ascii="Arial" w:cs="Arial" w:eastAsia="Arial" w:hAnsi="Arial"/>
                <w:sz w:val="14"/>
                <w:szCs w:val="14"/>
                <w:color w:val="auto"/>
              </w:rPr>
              <w:t>—</w:t>
            </w:r>
          </w:p>
        </w:tc>
        <w:tc>
          <w:tcPr>
            <w:tcW w:w="1280" w:type="dxa"/>
            <w:vAlign w:val="bottom"/>
          </w:tcPr>
          <w:p>
            <w:pPr>
              <w:ind w:left="620"/>
              <w:spacing w:after="0"/>
              <w:rPr>
                <w:sz w:val="20"/>
                <w:szCs w:val="20"/>
                <w:color w:val="auto"/>
              </w:rPr>
            </w:pPr>
            <w:r>
              <w:rPr>
                <w:rFonts w:ascii="Arial" w:cs="Arial" w:eastAsia="Arial" w:hAnsi="Arial"/>
                <w:sz w:val="14"/>
                <w:szCs w:val="14"/>
                <w:color w:val="auto"/>
              </w:rPr>
              <w:t>—</w:t>
            </w:r>
          </w:p>
        </w:tc>
      </w:tr>
    </w:tbl>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440" w:top="26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Skills and Experience Matrix</w:t>
      </w:r>
    </w:p>
    <w:p>
      <w:pPr>
        <w:spacing w:after="0" w:line="104"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The following graphic shows the number of our directors that have experience in the areas that our board of directors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126365</wp:posOffset>
            </wp:positionV>
            <wp:extent cx="5212080" cy="4972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b w:val="1"/>
          <w:bCs w:val="1"/>
          <w:i w:val="1"/>
          <w:iCs w:val="1"/>
          <w:color w:val="auto"/>
        </w:rPr>
        <w:t xml:space="preserve">Sandra E. Bergeron </w:t>
      </w:r>
      <w:r>
        <w:rPr>
          <w:rFonts w:ascii="Arial" w:cs="Arial" w:eastAsia="Arial" w:hAnsi="Arial"/>
          <w:sz w:val="18"/>
          <w:szCs w:val="18"/>
          <w:color w:val="auto"/>
        </w:rPr>
        <w:t>has served as a director of Qualys since June 2006, including as Chair of the Board since June 2021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Independent Director from July 2018 to June 2021. From 2004 until 2012, Ms. Bergeron was a venture partner at Trident Capital, Inc., a venture capital firm. Ms. Bergeron currently serves on the board of directors of F5, Inc. and the board of directors of Sumo Logic, Inc. Ms. Bergeron previously served on the board of directors of ArcSight, Inc. until it was acquired by Hewlett-Packard Company in September 2010, on the board of directors of Sophos Group Plc until it was acquired by a private equity firm in March 2020, and on the board of directors of TriCipher, Inc. from 2004 to 2010. Ms. Bergeron holds a Bachelor of Business Administration degree from Georgia State University and a Master of Business Administration degree from Xavier University.</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440" w:top="269" w:right="699" w:bottom="1440" w:gutter="0" w:footer="0" w:header="0"/>
        </w:sectPr>
      </w:pPr>
    </w:p>
    <w:bookmarkStart w:id="12" w:name="page13"/>
    <w:bookmarkEnd w:id="12"/>
    <w:p>
      <w:pPr>
        <w:ind w:right="6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that Ms. Bergeron possesses specific attributes that qualify her to serve as a member of our board of directors, including her experience as a director of technology companies and her background in the venture capital industry.</w:t>
      </w:r>
    </w:p>
    <w:p>
      <w:pPr>
        <w:spacing w:after="0" w:line="15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b w:val="1"/>
          <w:bCs w:val="1"/>
          <w:i w:val="1"/>
          <w:iCs w:val="1"/>
          <w:color w:val="auto"/>
        </w:rPr>
        <w:t xml:space="preserve">Kristi M. Rogers </w:t>
      </w:r>
      <w:r>
        <w:rPr>
          <w:rFonts w:ascii="Arial" w:cs="Arial" w:eastAsia="Arial" w:hAnsi="Arial"/>
          <w:sz w:val="18"/>
          <w:szCs w:val="18"/>
          <w:color w:val="auto"/>
        </w:rPr>
        <w:t>has served as a director of Qualys since August 2013. Ms. Rogers is currently co-founder and Managing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 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w:t>
      </w:r>
    </w:p>
    <w:p>
      <w:pPr>
        <w:spacing w:after="0" w:line="180" w:lineRule="exact"/>
        <w:rPr>
          <w:sz w:val="20"/>
          <w:szCs w:val="20"/>
          <w:color w:val="auto"/>
        </w:rPr>
      </w:pPr>
    </w:p>
    <w:p>
      <w:pPr>
        <w:ind w:right="220" w:firstLine="440"/>
        <w:spacing w:after="0" w:line="271"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Continuing Directors</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b w:val="1"/>
          <w:bCs w:val="1"/>
          <w:i w:val="1"/>
          <w:iCs w:val="1"/>
          <w:color w:val="auto"/>
        </w:rPr>
        <w:t xml:space="preserve">William Berutti </w:t>
      </w:r>
      <w:r>
        <w:rPr>
          <w:rFonts w:ascii="Arial" w:cs="Arial" w:eastAsia="Arial" w:hAnsi="Arial"/>
          <w:sz w:val="18"/>
          <w:szCs w:val="18"/>
          <w:color w:val="auto"/>
        </w:rPr>
        <w:t>has served as a director of Qualys since November 2021. Mr. Berutti served as Chief Executive Officer of 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Inc., a cloud manufacturing software company, from November 2018 to November 2021. From October 2016 to November 2018, Mr. Berutti served as President of multiple operating units within BMC Software, an enterprise software company. Mr. Berutti also currently serves, and has served, on the boards of directors of multiple private companies. Mr. Berutti holds a Bachelor of Science degree in Business from Miami University.</w:t>
      </w:r>
    </w:p>
    <w:p>
      <w:pPr>
        <w:spacing w:after="0" w:line="176"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We believe that Mr. Berutti possesses specific attributes that qualify him to serve as a member of our board of directors, including his executive experience at technology companies.</w:t>
      </w:r>
    </w:p>
    <w:p>
      <w:pPr>
        <w:spacing w:after="0" w:line="154" w:lineRule="exact"/>
        <w:rPr>
          <w:sz w:val="20"/>
          <w:szCs w:val="20"/>
          <w:color w:val="auto"/>
        </w:rPr>
      </w:pPr>
    </w:p>
    <w:p>
      <w:pPr>
        <w:ind w:right="280" w:firstLine="440"/>
        <w:spacing w:after="0" w:line="244" w:lineRule="auto"/>
        <w:rPr>
          <w:sz w:val="20"/>
          <w:szCs w:val="20"/>
          <w:color w:val="auto"/>
        </w:rPr>
      </w:pPr>
      <w:r>
        <w:rPr>
          <w:rFonts w:ascii="Arial" w:cs="Arial" w:eastAsia="Arial" w:hAnsi="Arial"/>
          <w:sz w:val="18"/>
          <w:szCs w:val="18"/>
          <w:b w:val="1"/>
          <w:bCs w:val="1"/>
          <w:i w:val="1"/>
          <w:iCs w:val="1"/>
          <w:color w:val="auto"/>
        </w:rPr>
        <w:t xml:space="preserve">Jeffrey P. Hank </w:t>
      </w:r>
      <w:r>
        <w:rPr>
          <w:rFonts w:ascii="Arial" w:cs="Arial" w:eastAsia="Arial" w:hAnsi="Arial"/>
          <w:sz w:val="18"/>
          <w:szCs w:val="18"/>
          <w:color w:val="auto"/>
        </w:rPr>
        <w:t>has served as a director of Qualys since January 2010. From June 2005 to July 2012, Mr. Hank was the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76"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5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b w:val="1"/>
          <w:bCs w:val="1"/>
          <w:i w:val="1"/>
          <w:iCs w:val="1"/>
          <w:color w:val="auto"/>
        </w:rPr>
        <w:t xml:space="preserve">General Peter Pace </w:t>
      </w:r>
      <w:r>
        <w:rPr>
          <w:rFonts w:ascii="Arial" w:cs="Arial" w:eastAsia="Arial" w:hAnsi="Arial"/>
          <w:sz w:val="18"/>
          <w:szCs w:val="18"/>
          <w:color w:val="auto"/>
        </w:rPr>
        <w:t>has served as a director of Qualys since May 2009. From June 1967 until October 2007, Gen. Pace served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Marine Corps, including as Chairman of the Joint Chiefs of Staff. Since October 2007, Gen. Pace has been a principal at Pace Ventures LLC. Gen. Pace currently serves on the board of directors of AAR Corp. and the board of directors of Rigetti Computing, Inc. Gen. Pace previously served on the board of directors of Pike Corporation from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2010 until it was taken private in December 2014, on the board of directors of LaserLock Technologies, Inc. from November 2012 to February 2014, and on the board of directors of Textura Corp. from December 2012 until its acquisition by Oracle in June 2016.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85" w:lineRule="exact"/>
        <w:rPr>
          <w:sz w:val="20"/>
          <w:szCs w:val="20"/>
          <w:color w:val="auto"/>
        </w:rPr>
      </w:pPr>
    </w:p>
    <w:p>
      <w:pPr>
        <w:ind w:right="240" w:firstLine="440"/>
        <w:spacing w:after="0" w:line="271"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154" w:lineRule="exact"/>
        <w:rPr>
          <w:sz w:val="20"/>
          <w:szCs w:val="20"/>
          <w:color w:val="auto"/>
        </w:rPr>
      </w:pPr>
    </w:p>
    <w:p>
      <w:pPr>
        <w:ind w:right="80" w:firstLine="440"/>
        <w:spacing w:after="0" w:line="242" w:lineRule="auto"/>
        <w:rPr>
          <w:sz w:val="20"/>
          <w:szCs w:val="20"/>
          <w:color w:val="auto"/>
        </w:rPr>
      </w:pPr>
      <w:r>
        <w:rPr>
          <w:rFonts w:ascii="Arial" w:cs="Arial" w:eastAsia="Arial" w:hAnsi="Arial"/>
          <w:sz w:val="18"/>
          <w:szCs w:val="18"/>
          <w:b w:val="1"/>
          <w:bCs w:val="1"/>
          <w:i w:val="1"/>
          <w:iCs w:val="1"/>
          <w:color w:val="auto"/>
        </w:rPr>
        <w:t xml:space="preserve">Wendy M. Pfeiffer </w:t>
      </w:r>
      <w:r>
        <w:rPr>
          <w:rFonts w:ascii="Arial" w:cs="Arial" w:eastAsia="Arial" w:hAnsi="Arial"/>
          <w:sz w:val="18"/>
          <w:szCs w:val="18"/>
          <w:color w:val="auto"/>
        </w:rPr>
        <w:t>has served as a director of Qualys since August 2019. Ms. Pfeiffer has served as senior vice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officer of Nutanix, Inc., an enterprise cloud computing company, since January 2017. Previously, Ms. Pfeiffer served as chief information officer and vice president IT of GoPro, Inc., a maker of video and photo capture devices, from July 2015 to January 2017. Ms. Pfeiffer also served as senior director, IT shared services, of Robert Half International, a staffing and recruiting company, from February 2009 to June 2015. Ms. Pfeiffer holds a Bachelor of Science degree in Business Administration, Financial Accounting and Technology, from the University of Phoenix.</w:t>
      </w:r>
    </w:p>
    <w:p>
      <w:pPr>
        <w:spacing w:after="0" w:line="179" w:lineRule="exact"/>
        <w:rPr>
          <w:sz w:val="20"/>
          <w:szCs w:val="20"/>
          <w:color w:val="auto"/>
        </w:rPr>
      </w:pPr>
    </w:p>
    <w:p>
      <w:pPr>
        <w:ind w:right="220" w:firstLine="440"/>
        <w:spacing w:after="0" w:line="271" w:lineRule="auto"/>
        <w:rPr>
          <w:sz w:val="20"/>
          <w:szCs w:val="20"/>
          <w:color w:val="auto"/>
        </w:rPr>
      </w:pPr>
      <w:r>
        <w:rPr>
          <w:rFonts w:ascii="Arial" w:cs="Arial" w:eastAsia="Arial" w:hAnsi="Arial"/>
          <w:sz w:val="18"/>
          <w:szCs w:val="18"/>
          <w:color w:val="auto"/>
        </w:rPr>
        <w:t>We believe that Ms. Pfeiffer possesses specific attributes that qualify her to serve as a member of our board of directors, including her experience serving as chief information officer at technology companies.</w:t>
      </w:r>
    </w:p>
    <w:p>
      <w:pPr>
        <w:spacing w:after="0" w:line="154"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has served as a director of Qualys since February 2021, as our Chief Executive Officer since April 2021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President since October 2019. Mr. Thakar previously served as our interim Chief Executive Officer from February 2021 to April 2021, and as our Chief Product Officer from June 2014 to April 2021. Mr. Thakar joined us in February 2003 and has held various positions with us since that time, including Principal Engineer, Engineering Manager, Director of Engineering, and Vice President, Engineering. Mr. Thakar holds a Bachelor of Computer Science degree from the University of Pune, India.</w:t>
      </w:r>
    </w:p>
    <w:p>
      <w:pPr>
        <w:spacing w:after="0" w:line="176" w:lineRule="exact"/>
        <w:rPr>
          <w:sz w:val="20"/>
          <w:szCs w:val="20"/>
          <w:color w:val="auto"/>
        </w:rPr>
      </w:pPr>
    </w:p>
    <w:p>
      <w:pPr>
        <w:ind w:right="240" w:firstLine="440"/>
        <w:spacing w:after="0" w:line="271" w:lineRule="auto"/>
        <w:rPr>
          <w:sz w:val="20"/>
          <w:szCs w:val="20"/>
          <w:color w:val="auto"/>
        </w:rPr>
      </w:pPr>
      <w:r>
        <w:rPr>
          <w:rFonts w:ascii="Arial" w:cs="Arial" w:eastAsia="Arial" w:hAnsi="Arial"/>
          <w:sz w:val="18"/>
          <w:szCs w:val="18"/>
          <w:color w:val="auto"/>
        </w:rPr>
        <w:t>We believe that Mr. Thakar possesses specific attributes that qualify him to serve as a member of our board of directors, including his experience as our President and Chief Product Officer and his knowledge of our company.</w:t>
      </w:r>
    </w:p>
    <w:p>
      <w:pPr>
        <w:spacing w:after="0" w:line="15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b w:val="1"/>
          <w:bCs w:val="1"/>
          <w:i w:val="1"/>
          <w:iCs w:val="1"/>
          <w:color w:val="auto"/>
        </w:rPr>
        <w:t xml:space="preserve">John Zangardi </w:t>
      </w:r>
      <w:r>
        <w:rPr>
          <w:rFonts w:ascii="Arial" w:cs="Arial" w:eastAsia="Arial" w:hAnsi="Arial"/>
          <w:sz w:val="18"/>
          <w:szCs w:val="18"/>
          <w:color w:val="auto"/>
        </w:rPr>
        <w:t>has served as a director of Qualys since June 2020. Dr. Zangardi has served as Chief Executive Officer of Redhorse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 technology services company delivering decision quality data to federal government customers, since December 2021, and as President of Redhorse Corporation since June 2020. From November 2019 to May 2020, Dr. Zangardi served as Senior Vice President of Business Initiatives and Strategic Partnerships for the Civil Group at Leidos, Inc., a science, engineering and information technology company. From November 2017 to November 2019, Dr. Zangardi served as Chief Information Officer of the Department of Homeland Security, a presidentially appointed position, where he was responsible for overseeing IT and its related security and management for the Department. Prior to that, Dr. Zangardi first served as the Principal Deputy Chief Information Officer and later as the Acting Chief Information Officer of the Department of Defense, between October 2016 to November 2017. Dr. Zangardi also served as the Deputy Assistant Secretary of the Navy for Command, Control, Communications, Computers, Intelligence, Information Operations &amp; Space from March 2011 to September 2016. Dr. Zangardi also served additionally as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69" w:right="479" w:bottom="1440" w:gutter="0" w:footer="0" w:header="0"/>
        </w:sectPr>
      </w:pPr>
    </w:p>
    <w:bookmarkStart w:id="14" w:name="page15"/>
    <w:bookmarkEnd w:id="14"/>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Department of Navy CIO from 2014 to 2015. A retired Naval Flight Officer, Dr. Zangardi served in a variety of command and staff assignments during his military career. Dr. Zangardi also currently serves on the board of directors of Forcepoint, a privately held software company, and Symetrica, a privately held radiation detection company. Dr. Zangardi holds a Bachelor of Science degree in Business Administration from the University of Scranton, a Master of Science degree in Finance from the Naval Postgraduate School, and a Doctor of Philosophy degree in Public Policy from George Mason University.</w:t>
      </w:r>
    </w:p>
    <w:p>
      <w:pPr>
        <w:spacing w:after="0" w:line="176"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color w:val="auto"/>
        </w:rPr>
        <w:t>We believe that Dr. Zangardi possesses specific attributes that qualify him to serve as a member of our board of directors, including his experience as chief information officer for departments of the federal government and his background in the U.S. military.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7"/>
          <w:szCs w:val="17"/>
          <w:color w:val="auto"/>
        </w:rPr>
        <w:t>Our board of directors has reviewed the independence of each director. Based on information provided by each director concerning his or her background, employment and affiliations, our board of directors has determined that each of Ms. Bergeron, Mr. Berutti,</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Hank, Gen. Pace,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Rules (the “Nasdaq Listing Rules”) of The Nasdaq Stock Market LLC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Chair of the Board</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board of directors does not have a policy on whether the roles of Chairperson of our board of directors and Chief Executive Officer should be separate. Our board believes it should be free to determine what is best for the Company at a given point in time. Ms. Bergeron, an independent, non-employee director, has served as Chair of the Board since June 2021. Ms. Bergeron previously served as our lead independent director from July 2018 to June 2021. Our board has determined that the separation of the roles of Chair of the Board and Chief Executive Officer is appropriate at this time, as it allows our Chief Executive Officer to focus primarily on management responsibilities and corporate strategy, while allowing the Chair to focus on leadership of the board, providing feedback and advice to the Chief Executive Officer, and providing a channel of communication between board members and our Chief Executive Officer. Our board currently does not have a lead independent director because the Chair is an independent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04"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During the year ended December 31, 2021, our board of directors held 8 meetings (including regularly scheduled and special meetings), our Audit and Risk Committee held 8 meetings, our Compensation and Talent Committee held 5 meetings, and our Nominating and ESG Committee held 3 meetings. Each incumbent director attended at least 75% of the total number of meetings of our board of directors and the committees of which he or she was a member during 2021.</w:t>
      </w:r>
    </w:p>
    <w:p>
      <w:pPr>
        <w:spacing w:after="0" w:line="174"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Ms. Bergeron, Ms. Rogers, Mr. Thakar and Dr. Zangardi, representing four of our then current seven directors, attended our 2021 annual meeting of stockholders.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69" w:right="479" w:bottom="1440" w:gutter="0" w:footer="0" w:header="0"/>
        </w:sectPr>
      </w:pPr>
    </w:p>
    <w:bookmarkStart w:id="15" w:name="page16"/>
    <w:bookmarkEnd w:id="15"/>
    <w:p>
      <w:pPr>
        <w:ind w:right="8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board of directors has three standing committees: an Audit and Risk Committee, a Compensation and Talent Committee, and a Nominating and ESG Committee. The composition and responsibilities of each of these committees is described below. Members serve on these committees until their resignation or until otherwise determined by our board of directors.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02" w:lineRule="exact"/>
        <w:rPr>
          <w:sz w:val="20"/>
          <w:szCs w:val="20"/>
          <w:color w:val="auto"/>
        </w:rPr>
      </w:pPr>
    </w:p>
    <w:p>
      <w:pPr>
        <w:ind w:right="380" w:firstLine="440"/>
        <w:spacing w:after="0" w:line="245" w:lineRule="auto"/>
        <w:rPr>
          <w:sz w:val="20"/>
          <w:szCs w:val="20"/>
          <w:color w:val="auto"/>
        </w:rPr>
      </w:pPr>
      <w:r>
        <w:rPr>
          <w:rFonts w:ascii="Arial" w:cs="Arial" w:eastAsia="Arial" w:hAnsi="Arial"/>
          <w:sz w:val="18"/>
          <w:szCs w:val="18"/>
          <w:color w:val="auto"/>
        </w:rPr>
        <w:t>Our Audit and Risk Committee consists of Mr. Hank, Ms. Pfeiffer and Dr. Zangardi, with Mr. Hank serving as Chair. Our board of directors has determined that all members of the Audit and Risk Committee (i) are independent under the Nasdaq Listing Rules</w:t>
      </w:r>
    </w:p>
    <w:p>
      <w:pPr>
        <w:jc w:val="both"/>
        <w:ind w:right="180"/>
        <w:spacing w:after="0" w:line="242" w:lineRule="auto"/>
        <w:rPr>
          <w:sz w:val="20"/>
          <w:szCs w:val="20"/>
          <w:color w:val="auto"/>
        </w:rPr>
      </w:pPr>
      <w:r>
        <w:rPr>
          <w:rFonts w:ascii="Arial" w:cs="Arial" w:eastAsia="Arial" w:hAnsi="Arial"/>
          <w:sz w:val="18"/>
          <w:szCs w:val="18"/>
          <w:color w:val="auto"/>
        </w:rPr>
        <w:t>and Rule 10A-3(b)(1) of the Exchange Act, and (ii) meet Nasdaq’s financial knowledge and sophistication requirements. In addition, our board of directors has determined that Mr. Hank is an audit committee financial expert within the meaning of the rules and regulations of the SEC. Among other responsibilities, our Audit and Risk Committee:</w:t>
      </w:r>
    </w:p>
    <w:p>
      <w:pPr>
        <w:spacing w:after="0" w:line="85" w:lineRule="exact"/>
        <w:rPr>
          <w:sz w:val="20"/>
          <w:szCs w:val="20"/>
          <w:color w:val="auto"/>
        </w:rPr>
      </w:pPr>
    </w:p>
    <w:p>
      <w:pPr>
        <w:ind w:left="960" w:right="86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960" w:right="68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60" w:right="360" w:hanging="424"/>
        <w:spacing w:after="0" w:line="25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 pertaining to financial, accounting, insurance coverage, investment, tax, and operational infrastructure, including security, data privacy, reliability, business continuity and capacity matters;</w:t>
      </w:r>
    </w:p>
    <w:p>
      <w:pPr>
        <w:spacing w:after="0" w:line="74"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117" w:lineRule="exact"/>
        <w:rPr>
          <w:rFonts w:ascii="Arial" w:cs="Arial" w:eastAsia="Arial" w:hAnsi="Arial"/>
          <w:sz w:val="18"/>
          <w:szCs w:val="18"/>
          <w:color w:val="auto"/>
        </w:rPr>
      </w:pPr>
    </w:p>
    <w:p>
      <w:pPr>
        <w:ind w:left="960" w:hanging="424"/>
        <w:spacing w:after="0" w:line="301"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36" w:lineRule="exact"/>
        <w:rPr>
          <w:rFonts w:ascii="Arial" w:cs="Arial" w:eastAsia="Arial" w:hAnsi="Arial"/>
          <w:sz w:val="17"/>
          <w:szCs w:val="17"/>
          <w:color w:val="auto"/>
        </w:rPr>
      </w:pPr>
    </w:p>
    <w:p>
      <w:pPr>
        <w:ind w:left="960" w:right="34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154"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Our Audit and Risk Committee operates under a written charter that was adopted by our board of directors and satisfies the applicable rules of the SEC and the Nasdaq Listing Rules. A copy of the Audit and Risk Committee charter is available on our website at http://investor.qualys.com.</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Talent Committee</w:t>
      </w:r>
    </w:p>
    <w:p>
      <w:pPr>
        <w:spacing w:after="0" w:line="10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Our Compensation and Talent Committee consists of Mr. Berutti, Gen. Pace, Ms. Rogers and Dr. Zangardi, with Dr. Zangardi serving as Chair. Our board of directors has determined that all members of the Compensation and Talent Committee (i) are independent under the Nasdaq Listing Rules, and (ii) are “non-employee directors”, as defined in Rule 16b-3 promulgated under the Exchange Act. Among other responsibilities, our Compensation and Talent Committee:</w:t>
      </w:r>
    </w:p>
    <w:p>
      <w:pPr>
        <w:spacing w:after="0" w:line="79" w:lineRule="exact"/>
        <w:rPr>
          <w:sz w:val="20"/>
          <w:szCs w:val="20"/>
          <w:color w:val="auto"/>
        </w:rPr>
      </w:pPr>
    </w:p>
    <w:p>
      <w:pPr>
        <w:ind w:left="960" w:right="140" w:hanging="424"/>
        <w:spacing w:after="0" w:line="27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69" w:right="499" w:bottom="1440" w:gutter="0" w:footer="0" w:header="0"/>
        </w:sectPr>
      </w:pPr>
    </w:p>
    <w:bookmarkStart w:id="16" w:name="page17"/>
    <w:bookmarkEnd w:id="16"/>
    <w:p>
      <w:pPr>
        <w:ind w:left="960" w:right="22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reviews and approves and makes recommendations to our board of directors regarding incentive compensation and equity plans;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our succession planning process for members of our executive management team; and</w:t>
      </w:r>
    </w:p>
    <w:p>
      <w:pPr>
        <w:spacing w:after="0" w:line="117" w:lineRule="exact"/>
        <w:rPr>
          <w:rFonts w:ascii="Arial" w:cs="Arial" w:eastAsia="Arial" w:hAnsi="Arial"/>
          <w:sz w:val="18"/>
          <w:szCs w:val="18"/>
          <w:color w:val="auto"/>
        </w:rPr>
      </w:pPr>
    </w:p>
    <w:p>
      <w:pPr>
        <w:ind w:left="960" w:right="56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discharges the responsibilities of our board of directors relating to the development and implementation of policies and strategies regarding talent diversity and inclusion.</w:t>
      </w:r>
    </w:p>
    <w:p>
      <w:pPr>
        <w:spacing w:after="0" w:line="154" w:lineRule="exact"/>
        <w:rPr>
          <w:sz w:val="20"/>
          <w:szCs w:val="20"/>
          <w:color w:val="auto"/>
        </w:rPr>
      </w:pPr>
    </w:p>
    <w:p>
      <w:pPr>
        <w:jc w:val="both"/>
        <w:ind w:right="100" w:firstLine="440"/>
        <w:spacing w:after="0" w:line="253" w:lineRule="auto"/>
        <w:rPr>
          <w:sz w:val="20"/>
          <w:szCs w:val="20"/>
          <w:color w:val="auto"/>
        </w:rPr>
      </w:pPr>
      <w:r>
        <w:rPr>
          <w:rFonts w:ascii="Arial" w:cs="Arial" w:eastAsia="Arial" w:hAnsi="Arial"/>
          <w:sz w:val="18"/>
          <w:szCs w:val="18"/>
          <w:color w:val="auto"/>
        </w:rPr>
        <w:t>Our Compensation and Talent Committee operates under a written charter that was adopted by our board of directors and satisfies the applicable rules of the SEC and the Nasdaq Listing Rules. A copy of the Compensation and Talent Committee charter is available on our website at http://investor.qualys.com.</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ESG Committee</w:t>
      </w:r>
    </w:p>
    <w:p>
      <w:pPr>
        <w:spacing w:after="0" w:line="102" w:lineRule="exact"/>
        <w:rPr>
          <w:sz w:val="20"/>
          <w:szCs w:val="20"/>
          <w:color w:val="auto"/>
        </w:rPr>
      </w:pPr>
    </w:p>
    <w:p>
      <w:pPr>
        <w:jc w:val="both"/>
        <w:ind w:right="260" w:firstLine="440"/>
        <w:spacing w:after="0" w:line="253" w:lineRule="auto"/>
        <w:rPr>
          <w:sz w:val="20"/>
          <w:szCs w:val="20"/>
          <w:color w:val="auto"/>
        </w:rPr>
      </w:pPr>
      <w:r>
        <w:rPr>
          <w:rFonts w:ascii="Arial" w:cs="Arial" w:eastAsia="Arial" w:hAnsi="Arial"/>
          <w:sz w:val="18"/>
          <w:szCs w:val="18"/>
          <w:color w:val="auto"/>
        </w:rPr>
        <w:t>Our Nominating and ESG Committee consists of Gen. Pace, Ms. Pfeiffer and Ms. Rogers, with Ms. Rogers serving as Chair. Our board of directors has determined that all members of the Nominating and ESG Committee are independent under the Nasdaq Listing Rules. Among other responsibilities, our Nominating and ESG Committee:</w:t>
      </w:r>
    </w:p>
    <w:p>
      <w:pPr>
        <w:spacing w:after="0" w:line="74" w:lineRule="exact"/>
        <w:rPr>
          <w:sz w:val="20"/>
          <w:szCs w:val="20"/>
          <w:color w:val="auto"/>
        </w:rPr>
      </w:pPr>
    </w:p>
    <w:p>
      <w:pPr>
        <w:ind w:left="96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59" w:lineRule="exact"/>
        <w:rPr>
          <w:rFonts w:ascii="Arial" w:cs="Arial" w:eastAsia="Arial" w:hAnsi="Arial"/>
          <w:sz w:val="18"/>
          <w:szCs w:val="18"/>
          <w:color w:val="auto"/>
        </w:rPr>
      </w:pPr>
    </w:p>
    <w:p>
      <w:pPr>
        <w:ind w:left="960" w:right="16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oversees our corporate governance practices;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oversees the annual performance evaluation of our board of directors and of individual directors;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oversees our ESG activities, programs and public disclosure.</w:t>
      </w:r>
    </w:p>
    <w:p>
      <w:pPr>
        <w:spacing w:after="0" w:line="212" w:lineRule="exact"/>
        <w:rPr>
          <w:sz w:val="20"/>
          <w:szCs w:val="20"/>
          <w:color w:val="auto"/>
        </w:rPr>
      </w:pPr>
    </w:p>
    <w:p>
      <w:pPr>
        <w:ind w:right="160" w:firstLine="440"/>
        <w:spacing w:after="0" w:line="253" w:lineRule="auto"/>
        <w:rPr>
          <w:sz w:val="20"/>
          <w:szCs w:val="20"/>
          <w:color w:val="auto"/>
        </w:rPr>
      </w:pPr>
      <w:r>
        <w:rPr>
          <w:rFonts w:ascii="Arial" w:cs="Arial" w:eastAsia="Arial" w:hAnsi="Arial"/>
          <w:sz w:val="18"/>
          <w:szCs w:val="18"/>
          <w:color w:val="auto"/>
        </w:rPr>
        <w:t>Our Nominating and ESG Committee operates under a written charter that was adopted by our board of directors and satisfies the applicable rules of the SEC and the Nasdaq Listing Rules. A copy of the Nominating and ESG Committee charter is available on our website at http://investor.qualys.com.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During fiscal 2021, Sandra Bergeron, William Berutti, Kristi Rogers, General Peter Pace, and John Zangardi served as members of our Compensation and Talent Committee. None of them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and Talent Committee or our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04" w:lineRule="exact"/>
        <w:rPr>
          <w:sz w:val="20"/>
          <w:szCs w:val="20"/>
          <w:color w:val="auto"/>
        </w:rPr>
      </w:pPr>
    </w:p>
    <w:p>
      <w:pPr>
        <w:jc w:val="both"/>
        <w:ind w:right="60" w:firstLine="440"/>
        <w:spacing w:after="0" w:line="253" w:lineRule="auto"/>
        <w:rPr>
          <w:sz w:val="20"/>
          <w:szCs w:val="20"/>
          <w:color w:val="auto"/>
        </w:rPr>
      </w:pPr>
      <w:r>
        <w:rPr>
          <w:rFonts w:ascii="Arial" w:cs="Arial" w:eastAsia="Arial" w:hAnsi="Arial"/>
          <w:sz w:val="18"/>
          <w:szCs w:val="18"/>
          <w:color w:val="auto"/>
        </w:rPr>
        <w:t>Our Nominating and ESG Committee uses a variety of methods for identifying and evaluating director nominees. In its evaluation of director candidates, our Nominating and ESG Committee will consider the current size and composition of our board of directors and the needs of our board and its committees. Some of the qualifications that the committee considers include, without limitation, issues</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69" w:right="539" w:bottom="1440" w:gutter="0" w:footer="0" w:header="0"/>
        </w:sectPr>
      </w:pPr>
    </w:p>
    <w:bookmarkStart w:id="17" w:name="page18"/>
    <w:bookmarkEnd w:id="17"/>
    <w:p>
      <w:pPr>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ESG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ESG Committee may also consider such other factors as it may deem, from time to time, are in our and our stockholders’ best interests. Our Nominating and ESG Committee will also seek appropriate input from our Chief Executive Officer from time to time in assessing the needs of our board of directors for relevant background, experience, diversity and skills of its members.</w:t>
      </w:r>
    </w:p>
    <w:p>
      <w:pPr>
        <w:spacing w:after="0" w:line="180"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Although our board of directors does not maintain a specific policy with respect to board diversity, our board of directors believes that the board should be a diverse body, and our Nominating and ESG Committee considers a broad range of backgrounds and experiences. In making determinations regarding nominations of directors, the committee may consider the benefits of diverse viewpoints. Our Nominating and ESG Committee also considers these and other factors as it oversees the annual board of director and committee evaluations.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0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Our Nominating and ESG Committee will consider candidates for director recommended by stockholders so long as such recommendations comply with our certificate of incorporation and bylaws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83" w:lineRule="exact"/>
        <w:rPr>
          <w:sz w:val="20"/>
          <w:szCs w:val="20"/>
          <w:color w:val="auto"/>
        </w:rPr>
      </w:pPr>
    </w:p>
    <w:p>
      <w:pPr>
        <w:ind w:right="80" w:firstLine="440"/>
        <w:spacing w:after="0" w:line="242" w:lineRule="auto"/>
        <w:rPr>
          <w:sz w:val="20"/>
          <w:szCs w:val="20"/>
          <w:color w:val="auto"/>
        </w:rPr>
      </w:pPr>
      <w:r>
        <w:rPr>
          <w:rFonts w:ascii="Arial" w:cs="Arial" w:eastAsia="Arial" w:hAnsi="Arial"/>
          <w:sz w:val="18"/>
          <w:szCs w:val="18"/>
          <w:color w:val="auto"/>
        </w:rPr>
        <w:t>A stockholder of record can nominate a candidate directly for election to our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Notice must be received by us no earlier than February 5, 2023, and no later than March 7, 2023. The notice must state the information required by Section 2.4(ii)(b) of our bylaws and otherwise must comply with applicable federal and state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04"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color w:val="auto"/>
        </w:rPr>
        <w:t>Stockholders wishing to communicate with our board of directors or with an individual member of the board may do so by writing to our board of directors or to the particular member of the board, and mailing the correspondence to: Qualys, Inc., Attention: Corporate Secretary,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All such stockholder communications will be forwarded to the appropriate member or members of our board of directors or, if none is specified, to the Chair of the Board.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Governance Guidelines and Codes of Business Conduct and Ethics</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Governance section of our website at http://investor.qualys.com. We will post amendments to our Code of Business Conduct and Ethics or waivers of our Code of Business Conduct and Ethics for directors and executive officers on the same website.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04" w:lineRule="exact"/>
        <w:rPr>
          <w:sz w:val="20"/>
          <w:szCs w:val="20"/>
          <w:color w:val="auto"/>
        </w:rPr>
      </w:pPr>
    </w:p>
    <w:p>
      <w:pPr>
        <w:ind w:right="160" w:firstLine="440"/>
        <w:spacing w:after="0" w:line="242"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9"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Qualys.</w:t>
      </w:r>
    </w:p>
    <w:p>
      <w:pPr>
        <w:spacing w:after="0" w:line="169"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our board in fulfilling its oversight responsibilities in certain areas of risk. Our Audit and Risk Committee assists our board of directors in fulfilling its oversight responsibilities with respect to risk management pertaining to financial, accounting, insurance coverage, investment, tax, and operational infrastructure, including security, data privacy, reliability, business continuity and capacity matters. Our Audit and Risk Committee discusses with management and the independent auditor guidelines and policies with respect to risk assessment and risk management; reviews management’s assessment of the key risks facing us, including the key controls it relies on to mitigate those risks; and monitors certain key risks at each of its regularly scheduled meetings, such as risk associated with internal control over financial reporting and liquidity risk. Our Compensation and Talent Committee assesses and monitors whether any of our compensation policies and programs has the potential to encourage excessive risk-taking. Our Nominating and ESG Committee assists our board of directors in fulfilling its oversight responsibilities with respect to the management of risk associated with board organization, membership and structure, and ESG matters.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compensation of our non-employee directors during our fiscal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Directors who are also our employees receive no additional compensation for their service as a director. During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Sumedh Thakar and former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69" w:right="459" w:bottom="1440" w:gutter="0" w:footer="0" w:header="0"/>
        </w:sectPr>
      </w:pPr>
    </w:p>
    <w:bookmarkStart w:id="19" w:name="page20"/>
    <w:bookmarkEnd w:id="19"/>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Philippe Courtot were employees. Mr. Thakar and Mr. Courtot’s compensation is discussed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We reimburse our directors for expenses associated with attending meetings of our board of directors and meetings of committees of our board.</w:t>
      </w:r>
    </w:p>
    <w:p>
      <w:pPr>
        <w:spacing w:after="0" w:line="20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560" w:type="dxa"/>
            <w:vAlign w:val="bottom"/>
            <w:shd w:val="clear" w:color="auto" w:fill="FF0C07"/>
          </w:tcPr>
          <w:p>
            <w:pPr>
              <w:spacing w:after="0"/>
              <w:rPr>
                <w:sz w:val="14"/>
                <w:szCs w:val="14"/>
                <w:color w:val="auto"/>
              </w:rPr>
            </w:pPr>
          </w:p>
        </w:tc>
        <w:tc>
          <w:tcPr>
            <w:tcW w:w="3180" w:type="dxa"/>
            <w:vAlign w:val="bottom"/>
            <w:shd w:val="clear" w:color="auto" w:fill="FF0C07"/>
          </w:tcPr>
          <w:p>
            <w:pPr>
              <w:jc w:val="center"/>
              <w:ind w:left="1335"/>
              <w:spacing w:after="0"/>
              <w:rPr>
                <w:sz w:val="20"/>
                <w:szCs w:val="20"/>
                <w:color w:val="auto"/>
              </w:rPr>
            </w:pPr>
            <w:r>
              <w:rPr>
                <w:rFonts w:ascii="Arial" w:cs="Arial" w:eastAsia="Arial" w:hAnsi="Arial"/>
                <w:sz w:val="14"/>
                <w:szCs w:val="14"/>
                <w:b w:val="1"/>
                <w:bCs w:val="1"/>
                <w:color w:val="FFFFFF"/>
              </w:rPr>
              <w:t>Fees Earned</w:t>
            </w:r>
          </w:p>
        </w:tc>
        <w:tc>
          <w:tcPr>
            <w:tcW w:w="1400" w:type="dxa"/>
            <w:vAlign w:val="bottom"/>
            <w:vMerge w:val="restart"/>
            <w:shd w:val="clear" w:color="auto" w:fill="FF0C07"/>
          </w:tcPr>
          <w:p>
            <w:pPr>
              <w:jc w:val="right"/>
              <w:ind w:right="116"/>
              <w:spacing w:after="0"/>
              <w:rPr>
                <w:sz w:val="20"/>
                <w:szCs w:val="20"/>
                <w:color w:val="auto"/>
              </w:rPr>
            </w:pPr>
            <w:r>
              <w:rPr>
                <w:rFonts w:ascii="Arial" w:cs="Arial" w:eastAsia="Arial" w:hAnsi="Arial"/>
                <w:sz w:val="14"/>
                <w:szCs w:val="14"/>
                <w:b w:val="1"/>
                <w:bCs w:val="1"/>
                <w:color w:val="FFFFFF"/>
              </w:rPr>
              <w:t>Stock Awards</w:t>
            </w:r>
          </w:p>
        </w:tc>
        <w:tc>
          <w:tcPr>
            <w:tcW w:w="1120" w:type="dxa"/>
            <w:vAlign w:val="bottom"/>
            <w:vMerge w:val="restart"/>
            <w:shd w:val="clear" w:color="auto" w:fill="FF0C07"/>
          </w:tcPr>
          <w:p>
            <w:pPr>
              <w:jc w:val="right"/>
              <w:ind w:right="394"/>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3560" w:type="dxa"/>
            <w:vAlign w:val="bottom"/>
            <w:shd w:val="clear" w:color="auto" w:fill="FF0C07"/>
          </w:tcPr>
          <w:p>
            <w:pPr>
              <w:spacing w:after="0"/>
              <w:rPr>
                <w:sz w:val="12"/>
                <w:szCs w:val="12"/>
                <w:color w:val="auto"/>
              </w:rPr>
            </w:pPr>
          </w:p>
        </w:tc>
        <w:tc>
          <w:tcPr>
            <w:tcW w:w="3180" w:type="dxa"/>
            <w:vAlign w:val="bottom"/>
            <w:shd w:val="clear" w:color="auto" w:fill="FF0C07"/>
          </w:tcPr>
          <w:p>
            <w:pPr>
              <w:jc w:val="center"/>
              <w:ind w:left="1335"/>
              <w:spacing w:after="0" w:line="145" w:lineRule="exact"/>
              <w:rPr>
                <w:sz w:val="20"/>
                <w:szCs w:val="20"/>
                <w:color w:val="auto"/>
              </w:rPr>
            </w:pPr>
            <w:r>
              <w:rPr>
                <w:rFonts w:ascii="Arial" w:cs="Arial" w:eastAsia="Arial" w:hAnsi="Arial"/>
                <w:sz w:val="14"/>
                <w:szCs w:val="14"/>
                <w:b w:val="1"/>
                <w:bCs w:val="1"/>
                <w:color w:val="FFFFFF"/>
              </w:rPr>
              <w:t>or Paid in</w:t>
            </w:r>
          </w:p>
        </w:tc>
        <w:tc>
          <w:tcPr>
            <w:tcW w:w="1400" w:type="dxa"/>
            <w:vAlign w:val="bottom"/>
            <w:vMerge w:val="continue"/>
            <w:shd w:val="clear" w:color="auto" w:fill="FF0C07"/>
          </w:tcPr>
          <w:p>
            <w:pPr>
              <w:spacing w:after="0"/>
              <w:rPr>
                <w:sz w:val="12"/>
                <w:szCs w:val="12"/>
                <w:color w:val="auto"/>
              </w:rPr>
            </w:pPr>
          </w:p>
        </w:tc>
        <w:tc>
          <w:tcPr>
            <w:tcW w:w="1120" w:type="dxa"/>
            <w:vAlign w:val="bottom"/>
            <w:vMerge w:val="continue"/>
            <w:shd w:val="clear" w:color="auto" w:fill="FF0C07"/>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Name</w:t>
            </w:r>
          </w:p>
        </w:tc>
        <w:tc>
          <w:tcPr>
            <w:tcW w:w="3180" w:type="dxa"/>
            <w:vAlign w:val="bottom"/>
            <w:shd w:val="clear" w:color="auto" w:fill="FF0C07"/>
          </w:tcPr>
          <w:p>
            <w:pPr>
              <w:jc w:val="center"/>
              <w:ind w:left="1335"/>
              <w:spacing w:after="0"/>
              <w:rPr>
                <w:sz w:val="20"/>
                <w:szCs w:val="20"/>
                <w:color w:val="auto"/>
              </w:rPr>
            </w:pPr>
            <w:r>
              <w:rPr>
                <w:rFonts w:ascii="Arial" w:cs="Arial" w:eastAsia="Arial" w:hAnsi="Arial"/>
                <w:sz w:val="14"/>
                <w:szCs w:val="14"/>
                <w:b w:val="1"/>
                <w:bCs w:val="1"/>
                <w:color w:val="FFFFFF"/>
              </w:rPr>
              <w:t>Cash ($)</w:t>
            </w:r>
          </w:p>
        </w:tc>
        <w:tc>
          <w:tcPr>
            <w:tcW w:w="1400" w:type="dxa"/>
            <w:vAlign w:val="bottom"/>
            <w:shd w:val="clear" w:color="auto" w:fill="FF0C07"/>
          </w:tcPr>
          <w:p>
            <w:pPr>
              <w:jc w:val="right"/>
              <w:ind w:right="376"/>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(1)(2)</w:t>
            </w:r>
          </w:p>
        </w:tc>
        <w:tc>
          <w:tcPr>
            <w:tcW w:w="1120" w:type="dxa"/>
            <w:vAlign w:val="bottom"/>
            <w:shd w:val="clear" w:color="auto" w:fill="FF0C07"/>
          </w:tcPr>
          <w:p>
            <w:pPr>
              <w:jc w:val="right"/>
              <w:ind w:right="47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9"/>
        </w:trPr>
        <w:tc>
          <w:tcPr>
            <w:tcW w:w="3560" w:type="dxa"/>
            <w:vAlign w:val="bottom"/>
          </w:tcPr>
          <w:p>
            <w:pPr>
              <w:ind w:left="100"/>
              <w:spacing w:after="0"/>
              <w:rPr>
                <w:sz w:val="20"/>
                <w:szCs w:val="20"/>
                <w:color w:val="auto"/>
              </w:rPr>
            </w:pPr>
            <w:r>
              <w:rPr>
                <w:rFonts w:ascii="Arial" w:cs="Arial" w:eastAsia="Arial" w:hAnsi="Arial"/>
                <w:sz w:val="18"/>
                <w:szCs w:val="18"/>
                <w:color w:val="auto"/>
              </w:rPr>
              <w:t>Sandra E. Bergeron</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65,323</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268,946</w:t>
            </w:r>
          </w:p>
        </w:tc>
        <w:tc>
          <w:tcPr>
            <w:tcW w:w="0" w:type="dxa"/>
            <w:vAlign w:val="bottom"/>
          </w:tcPr>
          <w:p>
            <w:pPr>
              <w:spacing w:after="0"/>
              <w:rPr>
                <w:sz w:val="1"/>
                <w:szCs w:val="1"/>
                <w:color w:val="auto"/>
              </w:rPr>
            </w:pPr>
          </w:p>
        </w:tc>
      </w:tr>
      <w:tr>
        <w:trPr>
          <w:trHeight w:val="292"/>
        </w:trPr>
        <w:tc>
          <w:tcPr>
            <w:tcW w:w="3560" w:type="dxa"/>
            <w:vAlign w:val="bottom"/>
          </w:tcPr>
          <w:p>
            <w:pPr>
              <w:ind w:left="100"/>
              <w:spacing w:after="0"/>
              <w:rPr>
                <w:sz w:val="20"/>
                <w:szCs w:val="20"/>
                <w:color w:val="auto"/>
              </w:rPr>
            </w:pPr>
            <w:r>
              <w:rPr>
                <w:rFonts w:ascii="Arial" w:cs="Arial" w:eastAsia="Arial" w:hAnsi="Arial"/>
                <w:sz w:val="18"/>
                <w:szCs w:val="18"/>
                <w:color w:val="auto"/>
              </w:rPr>
              <w:t>William Berutti</w:t>
            </w:r>
          </w:p>
        </w:tc>
        <w:tc>
          <w:tcPr>
            <w:tcW w:w="3180" w:type="dxa"/>
            <w:vAlign w:val="bottom"/>
          </w:tcPr>
          <w:p>
            <w:pPr>
              <w:jc w:val="right"/>
              <w:ind w:right="175"/>
              <w:spacing w:after="0"/>
              <w:rPr>
                <w:sz w:val="20"/>
                <w:szCs w:val="20"/>
                <w:color w:val="auto"/>
              </w:rPr>
            </w:pPr>
            <w:r>
              <w:rPr>
                <w:rFonts w:ascii="Arial" w:cs="Arial" w:eastAsia="Arial" w:hAnsi="Arial"/>
                <w:sz w:val="18"/>
                <w:szCs w:val="18"/>
                <w:color w:val="auto"/>
              </w:rPr>
              <w:t>2,948</w:t>
            </w:r>
            <w:r>
              <w:rPr>
                <w:rFonts w:ascii="Arial" w:cs="Arial" w:eastAsia="Arial" w:hAnsi="Arial"/>
                <w:sz w:val="15"/>
                <w:szCs w:val="15"/>
                <w:color w:val="auto"/>
              </w:rPr>
              <w:t>(4)</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430,608</w:t>
            </w:r>
            <w:r>
              <w:rPr>
                <w:rFonts w:ascii="Arial" w:cs="Arial" w:eastAsia="Arial" w:hAnsi="Arial"/>
                <w:sz w:val="15"/>
                <w:szCs w:val="15"/>
                <w:color w:val="auto"/>
              </w:rPr>
              <w:t>(5)</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433,556</w:t>
            </w:r>
          </w:p>
        </w:tc>
        <w:tc>
          <w:tcPr>
            <w:tcW w:w="0" w:type="dxa"/>
            <w:vAlign w:val="bottom"/>
          </w:tcPr>
          <w:p>
            <w:pPr>
              <w:spacing w:after="0"/>
              <w:rPr>
                <w:sz w:val="1"/>
                <w:szCs w:val="1"/>
                <w:color w:val="auto"/>
              </w:rPr>
            </w:pPr>
          </w:p>
        </w:tc>
      </w:tr>
      <w:tr>
        <w:trPr>
          <w:trHeight w:val="311"/>
        </w:trPr>
        <w:tc>
          <w:tcPr>
            <w:tcW w:w="3560" w:type="dxa"/>
            <w:vAlign w:val="bottom"/>
          </w:tcPr>
          <w:p>
            <w:pPr>
              <w:ind w:left="100"/>
              <w:spacing w:after="0"/>
              <w:rPr>
                <w:sz w:val="20"/>
                <w:szCs w:val="20"/>
                <w:color w:val="auto"/>
              </w:rPr>
            </w:pPr>
            <w:r>
              <w:rPr>
                <w:rFonts w:ascii="Arial" w:cs="Arial" w:eastAsia="Arial" w:hAnsi="Arial"/>
                <w:sz w:val="18"/>
                <w:szCs w:val="18"/>
                <w:color w:val="auto"/>
              </w:rPr>
              <w:t>Jeffrey P. Hank</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50,000</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253,623</w:t>
            </w:r>
          </w:p>
        </w:tc>
        <w:tc>
          <w:tcPr>
            <w:tcW w:w="0" w:type="dxa"/>
            <w:vAlign w:val="bottom"/>
          </w:tcPr>
          <w:p>
            <w:pPr>
              <w:spacing w:after="0"/>
              <w:rPr>
                <w:sz w:val="1"/>
                <w:szCs w:val="1"/>
                <w:color w:val="auto"/>
              </w:rPr>
            </w:pPr>
          </w:p>
        </w:tc>
      </w:tr>
      <w:tr>
        <w:trPr>
          <w:trHeight w:val="311"/>
        </w:trPr>
        <w:tc>
          <w:tcPr>
            <w:tcW w:w="3560" w:type="dxa"/>
            <w:vAlign w:val="bottom"/>
          </w:tcPr>
          <w:p>
            <w:pPr>
              <w:ind w:left="100"/>
              <w:spacing w:after="0"/>
              <w:rPr>
                <w:sz w:val="20"/>
                <w:szCs w:val="20"/>
                <w:color w:val="auto"/>
              </w:rPr>
            </w:pPr>
            <w:r>
              <w:rPr>
                <w:rFonts w:ascii="Arial" w:cs="Arial" w:eastAsia="Arial" w:hAnsi="Arial"/>
                <w:sz w:val="18"/>
                <w:szCs w:val="18"/>
                <w:color w:val="auto"/>
              </w:rPr>
              <w:t>Gen. Peter Pace</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40,548</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244,171</w:t>
            </w:r>
          </w:p>
        </w:tc>
        <w:tc>
          <w:tcPr>
            <w:tcW w:w="0" w:type="dxa"/>
            <w:vAlign w:val="bottom"/>
          </w:tcPr>
          <w:p>
            <w:pPr>
              <w:spacing w:after="0"/>
              <w:rPr>
                <w:sz w:val="1"/>
                <w:szCs w:val="1"/>
                <w:color w:val="auto"/>
              </w:rPr>
            </w:pPr>
          </w:p>
        </w:tc>
      </w:tr>
      <w:tr>
        <w:trPr>
          <w:trHeight w:val="310"/>
        </w:trPr>
        <w:tc>
          <w:tcPr>
            <w:tcW w:w="3560" w:type="dxa"/>
            <w:vAlign w:val="bottom"/>
          </w:tcPr>
          <w:p>
            <w:pPr>
              <w:ind w:left="100"/>
              <w:spacing w:after="0"/>
              <w:rPr>
                <w:sz w:val="20"/>
                <w:szCs w:val="20"/>
                <w:color w:val="auto"/>
              </w:rPr>
            </w:pPr>
            <w:r>
              <w:rPr>
                <w:rFonts w:ascii="Arial" w:cs="Arial" w:eastAsia="Arial" w:hAnsi="Arial"/>
                <w:sz w:val="18"/>
                <w:szCs w:val="18"/>
                <w:color w:val="auto"/>
              </w:rPr>
              <w:t>Wendy M. Pfeiffer</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40,231</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243,854</w:t>
            </w:r>
          </w:p>
        </w:tc>
        <w:tc>
          <w:tcPr>
            <w:tcW w:w="0" w:type="dxa"/>
            <w:vAlign w:val="bottom"/>
          </w:tcPr>
          <w:p>
            <w:pPr>
              <w:spacing w:after="0"/>
              <w:rPr>
                <w:sz w:val="1"/>
                <w:szCs w:val="1"/>
                <w:color w:val="auto"/>
              </w:rPr>
            </w:pPr>
          </w:p>
        </w:tc>
      </w:tr>
      <w:tr>
        <w:trPr>
          <w:trHeight w:val="311"/>
        </w:trPr>
        <w:tc>
          <w:tcPr>
            <w:tcW w:w="3560" w:type="dxa"/>
            <w:vAlign w:val="bottom"/>
          </w:tcPr>
          <w:p>
            <w:pPr>
              <w:ind w:left="100"/>
              <w:spacing w:after="0"/>
              <w:rPr>
                <w:sz w:val="20"/>
                <w:szCs w:val="20"/>
                <w:color w:val="auto"/>
              </w:rPr>
            </w:pPr>
            <w:r>
              <w:rPr>
                <w:rFonts w:ascii="Arial" w:cs="Arial" w:eastAsia="Arial" w:hAnsi="Arial"/>
                <w:sz w:val="18"/>
                <w:szCs w:val="18"/>
                <w:color w:val="auto"/>
              </w:rPr>
              <w:t>Kristi M. Rogers</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38,740</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242,363</w:t>
            </w:r>
          </w:p>
        </w:tc>
        <w:tc>
          <w:tcPr>
            <w:tcW w:w="0" w:type="dxa"/>
            <w:vAlign w:val="bottom"/>
          </w:tcPr>
          <w:p>
            <w:pPr>
              <w:spacing w:after="0"/>
              <w:rPr>
                <w:sz w:val="1"/>
                <w:szCs w:val="1"/>
                <w:color w:val="auto"/>
              </w:rPr>
            </w:pPr>
          </w:p>
        </w:tc>
      </w:tr>
      <w:tr>
        <w:trPr>
          <w:trHeight w:val="310"/>
        </w:trPr>
        <w:tc>
          <w:tcPr>
            <w:tcW w:w="3560" w:type="dxa"/>
            <w:vAlign w:val="bottom"/>
          </w:tcPr>
          <w:p>
            <w:pPr>
              <w:ind w:left="100"/>
              <w:spacing w:after="0"/>
              <w:rPr>
                <w:sz w:val="20"/>
                <w:szCs w:val="20"/>
                <w:color w:val="auto"/>
              </w:rPr>
            </w:pPr>
            <w:r>
              <w:rPr>
                <w:rFonts w:ascii="Arial" w:cs="Arial" w:eastAsia="Arial" w:hAnsi="Arial"/>
                <w:sz w:val="18"/>
                <w:szCs w:val="18"/>
                <w:color w:val="auto"/>
              </w:rPr>
              <w:t>John Zangardi</w:t>
            </w:r>
          </w:p>
        </w:tc>
        <w:tc>
          <w:tcPr>
            <w:tcW w:w="3180" w:type="dxa"/>
            <w:vAlign w:val="bottom"/>
          </w:tcPr>
          <w:p>
            <w:pPr>
              <w:jc w:val="right"/>
              <w:ind w:right="355"/>
              <w:spacing w:after="0"/>
              <w:rPr>
                <w:sz w:val="20"/>
                <w:szCs w:val="20"/>
                <w:color w:val="auto"/>
              </w:rPr>
            </w:pPr>
            <w:r>
              <w:rPr>
                <w:rFonts w:ascii="Arial" w:cs="Arial" w:eastAsia="Arial" w:hAnsi="Arial"/>
                <w:sz w:val="18"/>
                <w:szCs w:val="18"/>
                <w:color w:val="auto"/>
              </w:rPr>
              <w:t>43,365</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203,623</w:t>
            </w:r>
            <w:r>
              <w:rPr>
                <w:rFonts w:ascii="Arial" w:cs="Arial" w:eastAsia="Arial" w:hAnsi="Arial"/>
                <w:sz w:val="15"/>
                <w:szCs w:val="15"/>
                <w:color w:val="auto"/>
              </w:rPr>
              <w:t>(3)</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246,988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line="254"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grant date fair value of restricted stock unit awards granted in 2021. These amounts have been calculated in accordance with Financial 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2021, filed with the SEC on February 22, 2022.</w:t>
      </w:r>
    </w:p>
    <w:p>
      <w:pPr>
        <w:spacing w:after="0" w:line="87" w:lineRule="exact"/>
        <w:rPr>
          <w:rFonts w:ascii="Arial" w:cs="Arial" w:eastAsia="Arial" w:hAnsi="Arial"/>
          <w:sz w:val="16"/>
          <w:szCs w:val="16"/>
          <w:color w:val="auto"/>
        </w:rPr>
      </w:pPr>
    </w:p>
    <w:p>
      <w:pPr>
        <w:ind w:left="424" w:hanging="424"/>
        <w:spacing w:after="0" w:line="286"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2021, the aggregate number of shares of our common stock underlying unvested stock awards and outstanding option awards held by each of our non-employee directors was:</w:t>
      </w:r>
    </w:p>
    <w:p>
      <w:pPr>
        <w:spacing w:after="0" w:line="18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rPr>
              <w:t>Aggregate</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w w:val="99"/>
              </w:rPr>
              <w:t>Number of</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center"/>
              <w:ind w:left="1864"/>
              <w:spacing w:after="0"/>
              <w:rPr>
                <w:sz w:val="20"/>
                <w:szCs w:val="20"/>
                <w:color w:val="auto"/>
              </w:rPr>
            </w:pPr>
            <w:r>
              <w:rPr>
                <w:rFonts w:ascii="Arial" w:cs="Arial" w:eastAsia="Arial" w:hAnsi="Arial"/>
                <w:sz w:val="14"/>
                <w:szCs w:val="14"/>
                <w:b w:val="1"/>
                <w:bCs w:val="1"/>
                <w:color w:val="FFFFFF"/>
              </w:rPr>
              <w:t>Shares</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right"/>
              <w:ind w:right="204"/>
              <w:spacing w:after="0"/>
              <w:rPr>
                <w:sz w:val="20"/>
                <w:szCs w:val="20"/>
                <w:color w:val="auto"/>
              </w:rPr>
            </w:pPr>
            <w:r>
              <w:rPr>
                <w:rFonts w:ascii="Arial" w:cs="Arial" w:eastAsia="Arial" w:hAnsi="Arial"/>
                <w:sz w:val="14"/>
                <w:szCs w:val="14"/>
                <w:b w:val="1"/>
                <w:bCs w:val="1"/>
                <w:color w:val="FFFFFF"/>
              </w:rPr>
              <w:t>Underlying</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Underlying</w:t>
            </w:r>
          </w:p>
        </w:tc>
      </w:tr>
      <w:tr>
        <w:trPr>
          <w:trHeight w:val="162"/>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rPr>
              <w:t>Unvested</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Outstanding</w:t>
            </w:r>
          </w:p>
        </w:tc>
      </w:tr>
      <w:tr>
        <w:trPr>
          <w:trHeight w:val="162"/>
        </w:trPr>
        <w:tc>
          <w:tcPr>
            <w:tcW w:w="3720" w:type="dxa"/>
            <w:vAlign w:val="bottom"/>
            <w:shd w:val="clear" w:color="auto" w:fill="FF0C07"/>
          </w:tcPr>
          <w:p>
            <w:pPr>
              <w:spacing w:after="0"/>
              <w:rPr>
                <w:sz w:val="14"/>
                <w:szCs w:val="14"/>
                <w:color w:val="auto"/>
              </w:rPr>
            </w:pPr>
          </w:p>
        </w:tc>
        <w:tc>
          <w:tcPr>
            <w:tcW w:w="322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w w:val="99"/>
              </w:rPr>
              <w:t>Stock</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85"/>
        </w:trPr>
        <w:tc>
          <w:tcPr>
            <w:tcW w:w="372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Name</w:t>
            </w:r>
          </w:p>
        </w:tc>
        <w:tc>
          <w:tcPr>
            <w:tcW w:w="322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w w:val="98"/>
              </w:rPr>
              <w:t>Awards</w:t>
            </w:r>
          </w:p>
        </w:tc>
        <w:tc>
          <w:tcPr>
            <w:tcW w:w="142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215"/>
        </w:trPr>
        <w:tc>
          <w:tcPr>
            <w:tcW w:w="3720" w:type="dxa"/>
            <w:vAlign w:val="bottom"/>
          </w:tcPr>
          <w:p>
            <w:pPr>
              <w:ind w:left="80"/>
              <w:spacing w:after="0"/>
              <w:rPr>
                <w:sz w:val="20"/>
                <w:szCs w:val="20"/>
                <w:color w:val="auto"/>
              </w:rPr>
            </w:pPr>
            <w:r>
              <w:rPr>
                <w:rFonts w:ascii="Arial" w:cs="Arial" w:eastAsia="Arial" w:hAnsi="Arial"/>
                <w:sz w:val="16"/>
                <w:szCs w:val="16"/>
                <w:color w:val="auto"/>
              </w:rPr>
              <w:t>Sandra E. Bergeron</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2,002</w:t>
            </w:r>
          </w:p>
        </w:tc>
        <w:tc>
          <w:tcPr>
            <w:tcW w:w="142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83"/>
        </w:trPr>
        <w:tc>
          <w:tcPr>
            <w:tcW w:w="3720" w:type="dxa"/>
            <w:vAlign w:val="bottom"/>
          </w:tcPr>
          <w:p>
            <w:pPr>
              <w:ind w:left="80"/>
              <w:spacing w:after="0"/>
              <w:rPr>
                <w:sz w:val="20"/>
                <w:szCs w:val="20"/>
                <w:color w:val="auto"/>
              </w:rPr>
            </w:pPr>
            <w:r>
              <w:rPr>
                <w:rFonts w:ascii="Arial" w:cs="Arial" w:eastAsia="Arial" w:hAnsi="Arial"/>
                <w:sz w:val="16"/>
                <w:szCs w:val="16"/>
                <w:color w:val="auto"/>
              </w:rPr>
              <w:t>William Berutti</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3,305</w:t>
            </w:r>
          </w:p>
        </w:tc>
        <w:tc>
          <w:tcPr>
            <w:tcW w:w="142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97"/>
        </w:trPr>
        <w:tc>
          <w:tcPr>
            <w:tcW w:w="3720" w:type="dxa"/>
            <w:vAlign w:val="bottom"/>
          </w:tcPr>
          <w:p>
            <w:pPr>
              <w:ind w:left="80"/>
              <w:spacing w:after="0"/>
              <w:rPr>
                <w:sz w:val="20"/>
                <w:szCs w:val="20"/>
                <w:color w:val="auto"/>
              </w:rPr>
            </w:pPr>
            <w:r>
              <w:rPr>
                <w:rFonts w:ascii="Arial" w:cs="Arial" w:eastAsia="Arial" w:hAnsi="Arial"/>
                <w:sz w:val="16"/>
                <w:szCs w:val="16"/>
                <w:color w:val="auto"/>
              </w:rPr>
              <w:t>Jeffrey P. Hank</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2,002</w:t>
            </w:r>
          </w:p>
        </w:tc>
        <w:tc>
          <w:tcPr>
            <w:tcW w:w="1420" w:type="dxa"/>
            <w:vAlign w:val="bottom"/>
          </w:tcPr>
          <w:p>
            <w:pPr>
              <w:ind w:left="620"/>
              <w:spacing w:after="0"/>
              <w:rPr>
                <w:sz w:val="20"/>
                <w:szCs w:val="20"/>
                <w:color w:val="auto"/>
              </w:rPr>
            </w:pPr>
            <w:r>
              <w:rPr>
                <w:rFonts w:ascii="Arial" w:cs="Arial" w:eastAsia="Arial" w:hAnsi="Arial"/>
                <w:sz w:val="16"/>
                <w:szCs w:val="16"/>
                <w:color w:val="auto"/>
              </w:rPr>
              <w:t>12,000</w:t>
            </w:r>
          </w:p>
        </w:tc>
      </w:tr>
      <w:tr>
        <w:trPr>
          <w:trHeight w:val="297"/>
        </w:trPr>
        <w:tc>
          <w:tcPr>
            <w:tcW w:w="3720" w:type="dxa"/>
            <w:vAlign w:val="bottom"/>
          </w:tcPr>
          <w:p>
            <w:pPr>
              <w:ind w:left="80"/>
              <w:spacing w:after="0"/>
              <w:rPr>
                <w:sz w:val="20"/>
                <w:szCs w:val="20"/>
                <w:color w:val="auto"/>
              </w:rPr>
            </w:pPr>
            <w:r>
              <w:rPr>
                <w:rFonts w:ascii="Arial" w:cs="Arial" w:eastAsia="Arial" w:hAnsi="Arial"/>
                <w:sz w:val="16"/>
                <w:szCs w:val="16"/>
                <w:color w:val="auto"/>
              </w:rPr>
              <w:t>Gen. Peter Pace</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2,002</w:t>
            </w:r>
          </w:p>
        </w:tc>
        <w:tc>
          <w:tcPr>
            <w:tcW w:w="142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97"/>
        </w:trPr>
        <w:tc>
          <w:tcPr>
            <w:tcW w:w="3720" w:type="dxa"/>
            <w:vAlign w:val="bottom"/>
          </w:tcPr>
          <w:p>
            <w:pPr>
              <w:ind w:left="80"/>
              <w:spacing w:after="0"/>
              <w:rPr>
                <w:sz w:val="20"/>
                <w:szCs w:val="20"/>
                <w:color w:val="auto"/>
              </w:rPr>
            </w:pPr>
            <w:r>
              <w:rPr>
                <w:rFonts w:ascii="Arial" w:cs="Arial" w:eastAsia="Arial" w:hAnsi="Arial"/>
                <w:sz w:val="16"/>
                <w:szCs w:val="16"/>
                <w:color w:val="auto"/>
              </w:rPr>
              <w:t>Wendy M. Pfeiffer</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3,607</w:t>
            </w:r>
          </w:p>
        </w:tc>
        <w:tc>
          <w:tcPr>
            <w:tcW w:w="142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97"/>
        </w:trPr>
        <w:tc>
          <w:tcPr>
            <w:tcW w:w="3720" w:type="dxa"/>
            <w:vAlign w:val="bottom"/>
          </w:tcPr>
          <w:p>
            <w:pPr>
              <w:ind w:left="80"/>
              <w:spacing w:after="0"/>
              <w:rPr>
                <w:sz w:val="20"/>
                <w:szCs w:val="20"/>
                <w:color w:val="auto"/>
              </w:rPr>
            </w:pPr>
            <w:r>
              <w:rPr>
                <w:rFonts w:ascii="Arial" w:cs="Arial" w:eastAsia="Arial" w:hAnsi="Arial"/>
                <w:sz w:val="16"/>
                <w:szCs w:val="16"/>
                <w:color w:val="auto"/>
              </w:rPr>
              <w:t>Kristi M. Rogers</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2,002</w:t>
            </w:r>
          </w:p>
        </w:tc>
        <w:tc>
          <w:tcPr>
            <w:tcW w:w="1420" w:type="dxa"/>
            <w:vAlign w:val="bottom"/>
          </w:tcPr>
          <w:p>
            <w:pPr>
              <w:ind w:left="620"/>
              <w:spacing w:after="0"/>
              <w:rPr>
                <w:sz w:val="20"/>
                <w:szCs w:val="20"/>
                <w:color w:val="auto"/>
              </w:rPr>
            </w:pPr>
            <w:r>
              <w:rPr>
                <w:rFonts w:ascii="Arial" w:cs="Arial" w:eastAsia="Arial" w:hAnsi="Arial"/>
                <w:sz w:val="16"/>
                <w:szCs w:val="16"/>
                <w:color w:val="auto"/>
              </w:rPr>
              <w:t>23,000</w:t>
            </w:r>
          </w:p>
        </w:tc>
      </w:tr>
      <w:tr>
        <w:trPr>
          <w:trHeight w:val="297"/>
        </w:trPr>
        <w:tc>
          <w:tcPr>
            <w:tcW w:w="3720" w:type="dxa"/>
            <w:vAlign w:val="bottom"/>
          </w:tcPr>
          <w:p>
            <w:pPr>
              <w:ind w:left="80"/>
              <w:spacing w:after="0"/>
              <w:rPr>
                <w:sz w:val="20"/>
                <w:szCs w:val="20"/>
                <w:color w:val="auto"/>
              </w:rPr>
            </w:pPr>
            <w:r>
              <w:rPr>
                <w:rFonts w:ascii="Arial" w:cs="Arial" w:eastAsia="Arial" w:hAnsi="Arial"/>
                <w:sz w:val="16"/>
                <w:szCs w:val="16"/>
                <w:color w:val="auto"/>
              </w:rPr>
              <w:t>John Zangardi</w:t>
            </w:r>
          </w:p>
        </w:tc>
        <w:tc>
          <w:tcPr>
            <w:tcW w:w="3220" w:type="dxa"/>
            <w:vAlign w:val="bottom"/>
          </w:tcPr>
          <w:p>
            <w:pPr>
              <w:jc w:val="right"/>
              <w:ind w:right="204"/>
              <w:spacing w:after="0"/>
              <w:rPr>
                <w:sz w:val="20"/>
                <w:szCs w:val="20"/>
                <w:color w:val="auto"/>
              </w:rPr>
            </w:pPr>
            <w:r>
              <w:rPr>
                <w:rFonts w:ascii="Arial" w:cs="Arial" w:eastAsia="Arial" w:hAnsi="Arial"/>
                <w:sz w:val="16"/>
                <w:szCs w:val="16"/>
                <w:color w:val="auto"/>
              </w:rPr>
              <w:t>4,582</w:t>
            </w:r>
          </w:p>
        </w:tc>
        <w:tc>
          <w:tcPr>
            <w:tcW w:w="1420" w:type="dxa"/>
            <w:vAlign w:val="bottom"/>
          </w:tcPr>
          <w:p>
            <w:pPr>
              <w:ind w:left="860"/>
              <w:spacing w:after="0"/>
              <w:rPr>
                <w:sz w:val="20"/>
                <w:szCs w:val="20"/>
                <w:color w:val="auto"/>
              </w:rPr>
            </w:pPr>
            <w:r>
              <w:rPr>
                <w:rFonts w:ascii="Arial" w:cs="Arial" w:eastAsia="Arial" w:hAnsi="Arial"/>
                <w:sz w:val="16"/>
                <w:szCs w:val="16"/>
                <w:color w:val="auto"/>
              </w:rPr>
              <w:t>—</w:t>
            </w:r>
          </w:p>
        </w:tc>
      </w:tr>
    </w:tbl>
    <w:p>
      <w:pPr>
        <w:spacing w:after="0" w:line="96" w:lineRule="exact"/>
        <w:rPr>
          <w:sz w:val="20"/>
          <w:szCs w:val="20"/>
          <w:color w:val="auto"/>
        </w:rPr>
      </w:pPr>
    </w:p>
    <w:p>
      <w:pPr>
        <w:ind w:left="424" w:right="40" w:hanging="424"/>
        <w:spacing w:after="0" w:line="266"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June 9, 2021, each of Ms. Bergeron, Mr. Hank, Gen. Pace, Ms. Pfeiffer, Ms. Rogers and Dr. Zangardi was granted an award of 2,002 restricted stock units, which vest on the earlier of (i) June 9, 2022 or (ii) the day before our 2022 annual meeting of stockholders, subject to the applicable director’s continued service to us.</w:t>
      </w:r>
    </w:p>
    <w:p>
      <w:pPr>
        <w:spacing w:after="0" w:line="76" w:lineRule="exact"/>
        <w:rPr>
          <w:rFonts w:ascii="Arial" w:cs="Arial" w:eastAsia="Arial" w:hAnsi="Arial"/>
          <w:sz w:val="16"/>
          <w:szCs w:val="16"/>
          <w:color w:val="auto"/>
        </w:rPr>
      </w:pPr>
    </w:p>
    <w:p>
      <w:pPr>
        <w:ind w:left="424" w:right="360" w:hanging="424"/>
        <w:spacing w:after="0" w:line="286"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Berutti joined our board of directors on November 30, 2021. Accordingly, this reflects a pro-rata amount for his service on our board during 2021.</w:t>
      </w:r>
    </w:p>
    <w:p>
      <w:pPr>
        <w:spacing w:after="0" w:line="61"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November 30, 2021, Mr. Berutti was granted an award of 3,305 restricted stock units, which vest in three equal annual installments on each of the first three anniversaries of December 1, 2021, subject to Mr. Berutti’s continued service to us.</w:t>
      </w:r>
    </w:p>
    <w:p>
      <w:pPr>
        <w:spacing w:after="0" w:line="8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69" w:right="519" w:bottom="1440" w:gutter="0" w:footer="0" w:header="0"/>
        </w:sectPr>
      </w:pPr>
    </w:p>
    <w:bookmarkStart w:id="20" w:name="page21"/>
    <w:bookmarkEnd w:id="20"/>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Non-Employee Director Compensation Program</w:t>
      </w:r>
    </w:p>
    <w:p>
      <w:pPr>
        <w:spacing w:after="0" w:line="102" w:lineRule="exact"/>
        <w:rPr>
          <w:sz w:val="20"/>
          <w:szCs w:val="20"/>
          <w:color w:val="auto"/>
        </w:rPr>
      </w:pPr>
    </w:p>
    <w:p>
      <w:pPr>
        <w:ind w:right="80" w:firstLine="440"/>
        <w:spacing w:after="0" w:line="239" w:lineRule="auto"/>
        <w:rPr>
          <w:sz w:val="20"/>
          <w:szCs w:val="20"/>
          <w:color w:val="auto"/>
        </w:rPr>
      </w:pPr>
      <w:r>
        <w:rPr>
          <w:rFonts w:ascii="Arial" w:cs="Arial" w:eastAsia="Arial" w:hAnsi="Arial"/>
          <w:sz w:val="18"/>
          <w:szCs w:val="18"/>
          <w:color w:val="auto"/>
        </w:rPr>
        <w:t>Our Compensation and Talent Committee is responsible for reviewing and making recommendations with respect to the compensation of our non-employee directors. The committee’s practice is to engage a compensation consultant every year to conduct a full review and benchmarking (using the same peer group used to benchmark executive compensation) of our non-employee directors’ compensation in order to ensure that our directors’ compensation is in line with peer companies competing for director talent. Our current non-employee director compensation program was reviewed and approved in 2021 in connection with input from Mercer (US) Inc., an independent compensation advisor. In fiscal 2021, in connection with Ms. Bergeron’s appointment as Chair of the Board and with input from Mercer, our Compensation and Talent Committee recommended, and our board of directors approved, an annual cash retainer of $50,000 for non-employee director service as Chair of the Board. No other changes have been made to our non-employee director compensation program since 2017. During 2021, our non-employee director compensation program consisted of equity and cash, as described below.</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right="40" w:firstLine="440"/>
        <w:spacing w:after="0" w:line="244"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the board, subject to continued service to us through each vesting date.</w:t>
      </w:r>
    </w:p>
    <w:p>
      <w:pPr>
        <w:spacing w:after="0" w:line="176"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w:t>
      </w:r>
    </w:p>
    <w:p>
      <w:pPr>
        <w:spacing w:after="0" w:line="179"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(as defined in our 2012 Equity Incentive Plan) of Qualys.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Compensation</w:t>
      </w:r>
    </w:p>
    <w:p>
      <w:pPr>
        <w:spacing w:after="0" w:line="102"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$30,000 for serving on our board of directors (the “Annual Retainer”). In addition to the Annual Retainer, the non-employee Chair of the Board is entitled to an additional cash retainer of $50,000, and the lead independent director (if any) is entitled to an additional cash retainer of $19,000.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chairpersons and members of our board’s three standing committees are entitled to the following cash retainers each year:</w:t>
      </w:r>
    </w:p>
    <w:p>
      <w:pPr>
        <w:spacing w:after="0" w:line="24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520" w:type="dxa"/>
            <w:vAlign w:val="bottom"/>
            <w:shd w:val="clear" w:color="auto" w:fill="FF0C07"/>
          </w:tcPr>
          <w:p>
            <w:pPr>
              <w:spacing w:after="0"/>
              <w:rPr>
                <w:sz w:val="14"/>
                <w:szCs w:val="14"/>
                <w:color w:val="auto"/>
              </w:rPr>
            </w:pPr>
          </w:p>
        </w:tc>
        <w:tc>
          <w:tcPr>
            <w:tcW w:w="3700" w:type="dxa"/>
            <w:vAlign w:val="bottom"/>
            <w:shd w:val="clear" w:color="auto" w:fill="FF0C07"/>
          </w:tcPr>
          <w:p>
            <w:pPr>
              <w:jc w:val="right"/>
              <w:ind w:right="136"/>
              <w:spacing w:after="0"/>
              <w:rPr>
                <w:sz w:val="20"/>
                <w:szCs w:val="20"/>
                <w:color w:val="auto"/>
              </w:rPr>
            </w:pPr>
            <w:r>
              <w:rPr>
                <w:rFonts w:ascii="Arial" w:cs="Arial" w:eastAsia="Arial" w:hAnsi="Arial"/>
                <w:sz w:val="14"/>
                <w:szCs w:val="14"/>
                <w:b w:val="1"/>
                <w:bCs w:val="1"/>
                <w:color w:val="FFFFFF"/>
              </w:rPr>
              <w:t>Chairperson</w:t>
            </w:r>
          </w:p>
        </w:tc>
        <w:tc>
          <w:tcPr>
            <w:tcW w:w="1140" w:type="dxa"/>
            <w:vAlign w:val="bottom"/>
            <w:shd w:val="clear" w:color="auto" w:fill="FF0C07"/>
          </w:tcPr>
          <w:p>
            <w:pPr>
              <w:jc w:val="right"/>
              <w:ind w:right="237"/>
              <w:spacing w:after="0"/>
              <w:rPr>
                <w:sz w:val="20"/>
                <w:szCs w:val="20"/>
                <w:color w:val="auto"/>
              </w:rPr>
            </w:pPr>
            <w:r>
              <w:rPr>
                <w:rFonts w:ascii="Arial" w:cs="Arial" w:eastAsia="Arial" w:hAnsi="Arial"/>
                <w:sz w:val="14"/>
                <w:szCs w:val="14"/>
                <w:b w:val="1"/>
                <w:bCs w:val="1"/>
                <w:color w:val="FFFFFF"/>
              </w:rPr>
              <w:t>Member</w:t>
            </w:r>
          </w:p>
        </w:tc>
      </w:tr>
      <w:tr>
        <w:trPr>
          <w:trHeight w:val="185"/>
        </w:trPr>
        <w:tc>
          <w:tcPr>
            <w:tcW w:w="352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Board Committee</w:t>
            </w:r>
          </w:p>
        </w:tc>
        <w:tc>
          <w:tcPr>
            <w:tcW w:w="3700" w:type="dxa"/>
            <w:vAlign w:val="bottom"/>
            <w:shd w:val="clear" w:color="auto" w:fill="FF0C07"/>
          </w:tcPr>
          <w:p>
            <w:pPr>
              <w:jc w:val="right"/>
              <w:ind w:right="276"/>
              <w:spacing w:after="0"/>
              <w:rPr>
                <w:sz w:val="20"/>
                <w:szCs w:val="20"/>
                <w:color w:val="auto"/>
              </w:rPr>
            </w:pPr>
            <w:r>
              <w:rPr>
                <w:rFonts w:ascii="Arial" w:cs="Arial" w:eastAsia="Arial" w:hAnsi="Arial"/>
                <w:sz w:val="14"/>
                <w:szCs w:val="14"/>
                <w:b w:val="1"/>
                <w:bCs w:val="1"/>
                <w:color w:val="FFFFFF"/>
              </w:rPr>
              <w:t>Retainer</w:t>
            </w:r>
          </w:p>
        </w:tc>
        <w:tc>
          <w:tcPr>
            <w:tcW w:w="1140" w:type="dxa"/>
            <w:vAlign w:val="bottom"/>
            <w:shd w:val="clear" w:color="auto" w:fill="FF0C07"/>
          </w:tcPr>
          <w:p>
            <w:pPr>
              <w:jc w:val="right"/>
              <w:ind w:right="237"/>
              <w:spacing w:after="0"/>
              <w:rPr>
                <w:sz w:val="20"/>
                <w:szCs w:val="20"/>
                <w:color w:val="auto"/>
              </w:rPr>
            </w:pPr>
            <w:r>
              <w:rPr>
                <w:rFonts w:ascii="Arial" w:cs="Arial" w:eastAsia="Arial" w:hAnsi="Arial"/>
                <w:sz w:val="14"/>
                <w:szCs w:val="14"/>
                <w:b w:val="1"/>
                <w:bCs w:val="1"/>
                <w:color w:val="FFFFFF"/>
              </w:rPr>
              <w:t>Retainer</w:t>
            </w:r>
          </w:p>
        </w:tc>
      </w:tr>
      <w:tr>
        <w:trPr>
          <w:trHeight w:val="239"/>
        </w:trPr>
        <w:tc>
          <w:tcPr>
            <w:tcW w:w="3520" w:type="dxa"/>
            <w:vAlign w:val="bottom"/>
          </w:tcPr>
          <w:p>
            <w:pPr>
              <w:spacing w:after="0"/>
              <w:rPr>
                <w:sz w:val="20"/>
                <w:szCs w:val="20"/>
                <w:color w:val="auto"/>
              </w:rPr>
            </w:pPr>
            <w:r>
              <w:rPr>
                <w:rFonts w:ascii="Arial" w:cs="Arial" w:eastAsia="Arial" w:hAnsi="Arial"/>
                <w:sz w:val="18"/>
                <w:szCs w:val="18"/>
                <w:color w:val="auto"/>
              </w:rPr>
              <w:t>Audit and Risk Committee</w:t>
            </w:r>
          </w:p>
        </w:tc>
        <w:tc>
          <w:tcPr>
            <w:tcW w:w="3700" w:type="dxa"/>
            <w:vAlign w:val="bottom"/>
          </w:tcPr>
          <w:p>
            <w:pPr>
              <w:jc w:val="right"/>
              <w:ind w:right="136"/>
              <w:spacing w:after="0"/>
              <w:rPr>
                <w:sz w:val="20"/>
                <w:szCs w:val="20"/>
                <w:color w:val="auto"/>
              </w:rPr>
            </w:pPr>
            <w:r>
              <w:rPr>
                <w:rFonts w:ascii="Arial" w:cs="Arial" w:eastAsia="Arial" w:hAnsi="Arial"/>
                <w:sz w:val="18"/>
                <w:szCs w:val="18"/>
                <w:color w:val="auto"/>
              </w:rPr>
              <w:t>$  20,000</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$ 8,000</w:t>
            </w:r>
          </w:p>
        </w:tc>
      </w:tr>
      <w:tr>
        <w:trPr>
          <w:trHeight w:val="292"/>
        </w:trPr>
        <w:tc>
          <w:tcPr>
            <w:tcW w:w="3520" w:type="dxa"/>
            <w:vAlign w:val="bottom"/>
          </w:tcPr>
          <w:p>
            <w:pPr>
              <w:spacing w:after="0"/>
              <w:rPr>
                <w:sz w:val="20"/>
                <w:szCs w:val="20"/>
                <w:color w:val="auto"/>
              </w:rPr>
            </w:pPr>
            <w:r>
              <w:rPr>
                <w:rFonts w:ascii="Arial" w:cs="Arial" w:eastAsia="Arial" w:hAnsi="Arial"/>
                <w:sz w:val="18"/>
                <w:szCs w:val="18"/>
                <w:color w:val="auto"/>
              </w:rPr>
              <w:t>Compensation and Talent Committee</w:t>
            </w:r>
          </w:p>
        </w:tc>
        <w:tc>
          <w:tcPr>
            <w:tcW w:w="3700" w:type="dxa"/>
            <w:vAlign w:val="bottom"/>
          </w:tcPr>
          <w:p>
            <w:pPr>
              <w:jc w:val="right"/>
              <w:ind w:right="136"/>
              <w:spacing w:after="0"/>
              <w:rPr>
                <w:sz w:val="20"/>
                <w:szCs w:val="20"/>
                <w:color w:val="auto"/>
              </w:rPr>
            </w:pPr>
            <w:r>
              <w:rPr>
                <w:rFonts w:ascii="Arial" w:cs="Arial" w:eastAsia="Arial" w:hAnsi="Arial"/>
                <w:sz w:val="18"/>
                <w:szCs w:val="18"/>
                <w:color w:val="auto"/>
              </w:rPr>
              <w:t>12,000</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5,000</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Nominating and ESG Committee</w:t>
            </w:r>
          </w:p>
        </w:tc>
        <w:tc>
          <w:tcPr>
            <w:tcW w:w="3700" w:type="dxa"/>
            <w:vAlign w:val="bottom"/>
          </w:tcPr>
          <w:p>
            <w:pPr>
              <w:jc w:val="right"/>
              <w:ind w:right="136"/>
              <w:spacing w:after="0"/>
              <w:rPr>
                <w:sz w:val="20"/>
                <w:szCs w:val="20"/>
                <w:color w:val="auto"/>
              </w:rPr>
            </w:pPr>
            <w:r>
              <w:rPr>
                <w:rFonts w:ascii="Arial" w:cs="Arial" w:eastAsia="Arial" w:hAnsi="Arial"/>
                <w:sz w:val="18"/>
                <w:szCs w:val="18"/>
                <w:color w:val="auto"/>
              </w:rPr>
              <w:t>7,500</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4,000</w:t>
            </w:r>
          </w:p>
        </w:tc>
      </w:tr>
      <w:tr>
        <w:trPr>
          <w:trHeight w:val="351"/>
        </w:trPr>
        <w:tc>
          <w:tcPr>
            <w:tcW w:w="3520" w:type="dxa"/>
            <w:vAlign w:val="bottom"/>
          </w:tcPr>
          <w:p>
            <w:pPr>
              <w:spacing w:after="0"/>
              <w:rPr>
                <w:sz w:val="24"/>
                <w:szCs w:val="24"/>
                <w:color w:val="auto"/>
              </w:rPr>
            </w:pPr>
          </w:p>
        </w:tc>
        <w:tc>
          <w:tcPr>
            <w:tcW w:w="3700" w:type="dxa"/>
            <w:vAlign w:val="bottom"/>
          </w:tcPr>
          <w:p>
            <w:pPr>
              <w:jc w:val="right"/>
              <w:ind w:right="2856"/>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r>
    </w:tbl>
    <w:p>
      <w:pPr>
        <w:sectPr>
          <w:pgSz w:w="11900" w:h="16838" w:orient="portrait"/>
          <w:cols w:equalWidth="0" w:num="1">
            <w:col w:w="10960"/>
          </w:cols>
          <w:pgMar w:left="440" w:top="271" w:right="499" w:bottom="1440" w:gutter="0" w:footer="0" w:header="0"/>
        </w:sectPr>
      </w:pPr>
    </w:p>
    <w:bookmarkStart w:id="21" w:name="page22"/>
    <w:bookmarkEnd w:id="21"/>
    <w:p>
      <w:pPr>
        <w:ind w:right="100" w:firstLine="44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0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We have implemented an insider trading policy that prohibits our non-employee directors and executive officers from trading in derivative securities (including hedging) with respect to our common stock, pledging company securities as collateral, or holding company securities in a margin account.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02" w:lineRule="exact"/>
        <w:rPr>
          <w:sz w:val="20"/>
          <w:szCs w:val="20"/>
          <w:color w:val="auto"/>
        </w:rPr>
      </w:pPr>
    </w:p>
    <w:p>
      <w:pPr>
        <w:ind w:right="140" w:firstLine="440"/>
        <w:spacing w:after="0" w:line="239"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 order to more closely align their interests with the long-term interests of our stockholders. Under the guidelines, each non-employee director is required to own a number of shares of our common stock with a value equal to at least five times the value of his or her Annual Retainer (not including any additional fees received for committee service, board chair or lead independent director service, or meeting attendance). For 2021, shares of the Company’s common stock (including shares beneficially owned) and vested and exercisable “in-the-money” stock options count towards satisfaction of the stock ownership levels. In April 2022, our board of directors approved a change to the guidelines such that only shares of the Company’s common stock (including shares beneficially owned) will count towards satisfaction of the stock ownership levels. Consistent with emerging best practices, vested and exercisable stock options will no longer be counted towards satisfying the guidelines.</w:t>
      </w:r>
    </w:p>
    <w:p>
      <w:pPr>
        <w:spacing w:after="0" w:line="183"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Each non-employee director must satisfy his or her applicable ownership level by the later of (i) February 8, 2024 or (ii) five years after becoming a director. Compliance with these guidelines is measured based on the non-employee director’s Annual Retainer and the closing price of the Company’s common stock, in each case as of December 31 of each year (or the next trading day if December 31 is not a trading day). Unless and until a director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As of December 31, 2021, all of our non-employee directors were in compliance with our stock ownership guidelines or within the grace period for compliance.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69" w:right="5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104" w:lineRule="exact"/>
        <w:rPr>
          <w:sz w:val="20"/>
          <w:szCs w:val="20"/>
          <w:color w:val="auto"/>
        </w:rPr>
      </w:pPr>
    </w:p>
    <w:p>
      <w:pPr>
        <w:ind w:right="220" w:firstLine="440"/>
        <w:spacing w:after="0" w:line="247" w:lineRule="auto"/>
        <w:rPr>
          <w:sz w:val="20"/>
          <w:szCs w:val="20"/>
          <w:color w:val="auto"/>
        </w:rPr>
      </w:pPr>
      <w:r>
        <w:rPr>
          <w:rFonts w:ascii="Arial" w:cs="Arial" w:eastAsia="Arial" w:hAnsi="Arial"/>
          <w:sz w:val="18"/>
          <w:szCs w:val="18"/>
          <w:color w:val="auto"/>
        </w:rPr>
        <w:t>Our board of directors is currently composed of eight members. Our board of directors is divided into three staggered classes of directors. At each annual meeting of stockholders, a class of directors will be elected for a three-year term to succeed the same class whose term is then expiring. The term of the Class I directors expires at the Annual Meeting, the term of the Class II directors expires at the 2023 annual meeting, and the term of the Class III directors expires at the 2024 annual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04"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Our Nominating and ESG committee has recommended, and our board of directors has approved, Sandra E. Bergeron and Kristi M. Rogers as nominees for election as Class I directors at the Annual Meeting. If elected, each of Ms. Bergeron and Ms. Rogers will serve as Class I directors until the 2025 annual meeting of stockholders and until their successors are duly elected and qualified, subject to their earlier death, resignation, or removal. Each of the nominees currently serves on our board of directors as a Class I director. For information concerning the nominees, please see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above.</w:t>
      </w:r>
    </w:p>
    <w:p>
      <w:pPr>
        <w:spacing w:after="0" w:line="176"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Ms. Bergeron and Ms. Rogers, each of whom has consented to being named as a nominee in this proxy statement and to serve as a director, if elected. If, at the time of the Annual Meeting, any nominee is unable or declines to serve as a director, the discretionary authority provided in the enclosed proxy will be exercised to vote for a substitute candidate designated by our board of directors, unless the board chooses to reduce its own size. Our board of directors has no reason to believe that any of the nominees will be unable or will decline to serve if elected. If you are a street name stockholder and you do not give voting instructions to your broker, bank, or other nominee, your broker, bank, or other nominee will leave your shares unvoted on this matter.</w:t>
      </w:r>
    </w:p>
    <w:p>
      <w:pPr>
        <w:spacing w:after="0" w:line="180" w:lineRule="exact"/>
        <w:rPr>
          <w:sz w:val="20"/>
          <w:szCs w:val="20"/>
          <w:color w:val="auto"/>
        </w:rPr>
      </w:pPr>
    </w:p>
    <w:p>
      <w:pPr>
        <w:jc w:val="center"/>
        <w:ind w:left="480" w:right="1020"/>
        <w:spacing w:after="0" w:line="443" w:lineRule="auto"/>
        <w:rPr>
          <w:sz w:val="20"/>
          <w:szCs w:val="20"/>
          <w:color w:val="auto"/>
        </w:rPr>
      </w:pPr>
      <w:r>
        <w:rPr>
          <w:rFonts w:ascii="Arial" w:cs="Arial" w:eastAsia="Arial" w:hAnsi="Arial"/>
          <w:sz w:val="18"/>
          <w:szCs w:val="18"/>
          <w:b w:val="1"/>
          <w:bCs w:val="1"/>
          <w:color w:val="auto"/>
        </w:rPr>
        <w:t xml:space="preserve">THE BOARD OF DIRECTORS RECOMMENDS A VOTE “FOR” EACH OF THE NOMINEES NAMED ABOVE. </w:t>
      </w:r>
      <w:r>
        <w:rPr>
          <w:rFonts w:ascii="Arial" w:cs="Arial" w:eastAsia="Arial" w:hAnsi="Arial"/>
          <w:sz w:val="18"/>
          <w:szCs w:val="18"/>
          <w:color w:val="auto"/>
        </w:rPr>
        <w:t>21</w:t>
      </w:r>
    </w:p>
    <w:p>
      <w:pPr>
        <w:sectPr>
          <w:pgSz w:w="11900" w:h="16838" w:orient="portrait"/>
          <w:cols w:equalWidth="0" w:num="1">
            <w:col w:w="10980"/>
          </w:cols>
          <w:pgMar w:left="440" w:top="269" w:right="479"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2</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RATIFICATION OF APPOINTMENT OF</w:t>
      </w:r>
    </w:p>
    <w:p>
      <w:pPr>
        <w:jc w:val="center"/>
        <w:ind w:right="-3"/>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Our Audit and Risk Committee has appointed Grant Thornton LLP (“Grant Thornton”), independent registered public accountants, to audit our financial statements for our fiscal year ending December 31, 2022. Grant Thornton has audited our financial statements since 2005. At the Annual Meeting, our stockholders are being asked to ratify the appointment of Grant Thornton as our independent registered public accounting firm for our fiscal year ending December 31, 2022.</w:t>
      </w:r>
    </w:p>
    <w:p>
      <w:pPr>
        <w:spacing w:after="0" w:line="174" w:lineRule="exact"/>
        <w:rPr>
          <w:sz w:val="20"/>
          <w:szCs w:val="20"/>
          <w:color w:val="auto"/>
        </w:rPr>
      </w:pPr>
    </w:p>
    <w:p>
      <w:pPr>
        <w:ind w:left="4" w:right="20" w:firstLine="440"/>
        <w:spacing w:after="0" w:line="244" w:lineRule="auto"/>
        <w:rPr>
          <w:sz w:val="20"/>
          <w:szCs w:val="20"/>
          <w:color w:val="auto"/>
        </w:rPr>
      </w:pPr>
      <w:r>
        <w:rPr>
          <w:rFonts w:ascii="Arial" w:cs="Arial" w:eastAsia="Arial" w:hAnsi="Arial"/>
          <w:sz w:val="18"/>
          <w:szCs w:val="18"/>
          <w:color w:val="auto"/>
        </w:rPr>
        <w:t>Our Audit and Risk Committee is submitting the selection of Grant Thornton to our stockholders because we value our stockholders’ views on our independent registered public accounting firm and as a matter of good corporate governance. If the stockholders do not ratify the appointment of Grant Thornton, our board of directors may reconsider the appointment. Notwithstanding its selection and even if our stockholders ratify the selection, our Audit and Risk Committee, in its discretion, may appoint another independent registered public accounting firm at any time during the year if it believes that such a change would be in the best interests of Qualys and its stockholders.</w:t>
      </w:r>
    </w:p>
    <w:p>
      <w:pPr>
        <w:spacing w:after="0" w:line="176"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8"/>
          <w:szCs w:val="18"/>
          <w:color w:val="auto"/>
        </w:rPr>
        <w:t>Representatives of Grant Thornton will be present at the Annual Meeting, and they will have an opportunity to make statements and will be available to respond to appropriate questions from stockholders.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04"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8"/>
          <w:szCs w:val="18"/>
          <w:color w:val="auto"/>
        </w:rPr>
        <w:t>The following table presents fees for services rendered to Qualys by Grant Thornton for the fiscal years ended December 31, 2020 and 2021. During such fiscal years, Grant Thornton did not render any services to Qualys other than professional audit services.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3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1,271,900</w:t>
            </w: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1,419,786</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66"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Auditor Independence</w:t>
      </w:r>
    </w:p>
    <w:p>
      <w:pPr>
        <w:spacing w:after="0" w:line="104" w:lineRule="exact"/>
        <w:rPr>
          <w:sz w:val="20"/>
          <w:szCs w:val="20"/>
          <w:color w:val="auto"/>
        </w:rPr>
      </w:pPr>
    </w:p>
    <w:p>
      <w:pPr>
        <w:ind w:left="4" w:right="800" w:firstLine="440"/>
        <w:spacing w:after="0" w:line="271" w:lineRule="auto"/>
        <w:rPr>
          <w:sz w:val="20"/>
          <w:szCs w:val="20"/>
          <w:color w:val="auto"/>
        </w:rPr>
      </w:pPr>
      <w:r>
        <w:rPr>
          <w:rFonts w:ascii="Arial" w:cs="Arial" w:eastAsia="Arial" w:hAnsi="Arial"/>
          <w:sz w:val="18"/>
          <w:szCs w:val="18"/>
          <w:color w:val="auto"/>
        </w:rPr>
        <w:t>In 2021, there were no other professional services provided by Grant Thornton that would have required the Audit and Risk Committee to consider their compatibility with maintaining the independence of Grant Thornton.</w:t>
      </w:r>
    </w:p>
    <w:p>
      <w:pPr>
        <w:spacing w:after="0" w:line="262" w:lineRule="exact"/>
        <w:rPr>
          <w:sz w:val="20"/>
          <w:szCs w:val="20"/>
          <w:color w:val="auto"/>
        </w:rPr>
      </w:pPr>
    </w:p>
    <w:p>
      <w:pPr>
        <w:ind w:left="4" w:right="540"/>
        <w:spacing w:after="0" w:line="281" w:lineRule="auto"/>
        <w:rPr>
          <w:sz w:val="20"/>
          <w:szCs w:val="20"/>
          <w:color w:val="auto"/>
        </w:rPr>
      </w:pPr>
      <w:r>
        <w:rPr>
          <w:rFonts w:ascii="Arial" w:cs="Arial" w:eastAsia="Arial" w:hAnsi="Arial"/>
          <w:sz w:val="18"/>
          <w:szCs w:val="18"/>
          <w:b w:val="1"/>
          <w:bCs w:val="1"/>
          <w:color w:val="auto"/>
        </w:rPr>
        <w:t>Audit and Risk Committee Policy on Pre-Approval of Audit and Permissible Non-Audit Services of Independent Registered Public Accounting Firm</w:t>
      </w:r>
    </w:p>
    <w:p>
      <w:pPr>
        <w:spacing w:after="0" w:line="28" w:lineRule="exact"/>
        <w:rPr>
          <w:sz w:val="20"/>
          <w:szCs w:val="20"/>
          <w:color w:val="auto"/>
        </w:rPr>
      </w:pPr>
    </w:p>
    <w:p>
      <w:pPr>
        <w:ind w:left="4" w:right="20" w:firstLine="440"/>
        <w:spacing w:after="0" w:line="244"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and Risk Committee is responsible for the appointment, compensation and oversight of the work of our independent registered public accounting firm. In recognition of this responsibility, the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69" w:right="459" w:bottom="1440" w:gutter="0" w:footer="0" w:header="0"/>
        </w:sectPr>
      </w:pPr>
    </w:p>
    <w:bookmarkStart w:id="24" w:name="page25"/>
    <w:bookmarkEnd w:id="24"/>
    <w:p>
      <w:pPr>
        <w:jc w:val="both"/>
        <w:ind w:right="8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our Audit and Risk Committee for approval:</w:t>
      </w:r>
    </w:p>
    <w:p>
      <w:pPr>
        <w:spacing w:after="0" w:line="74" w:lineRule="exact"/>
        <w:rPr>
          <w:sz w:val="20"/>
          <w:szCs w:val="20"/>
          <w:color w:val="auto"/>
        </w:rPr>
      </w:pPr>
    </w:p>
    <w:p>
      <w:pPr>
        <w:jc w:val="both"/>
        <w:ind w:left="960" w:right="600" w:hanging="424"/>
        <w:spacing w:after="0" w:line="25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the review of financial statements included in our quarterly reports, as well as work that is normally provided by the independent registered public accounting firm in connection with statutory and regulatory filings.</w:t>
      </w:r>
    </w:p>
    <w:p>
      <w:pPr>
        <w:spacing w:after="0" w:line="74" w:lineRule="exact"/>
        <w:rPr>
          <w:rFonts w:ascii="Arial" w:cs="Arial" w:eastAsia="Arial" w:hAnsi="Arial"/>
          <w:sz w:val="18"/>
          <w:szCs w:val="18"/>
          <w:color w:val="auto"/>
        </w:rPr>
      </w:pPr>
    </w:p>
    <w:p>
      <w:pPr>
        <w:ind w:left="960" w:right="640" w:hanging="424"/>
        <w:spacing w:after="0" w:line="271"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covered above under “audit services.”</w:t>
      </w:r>
    </w:p>
    <w:p>
      <w:pPr>
        <w:spacing w:after="0" w:line="59"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212"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Our Audit and Risk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committee before the independent registered public accounting firm is engaged. Pre-approval fee levels or budgeted amounts for all services to be provided by the independent registered public accounting firm are established annually by the committee, and any proposed services exceeding these levels or amounts require specific pre-approval by the committee.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GRANT THORNTON LLP.</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69" w:right="4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194"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79"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The Say-on-Pay vote is advisory, and therefore is not binding on us, our Compensation and Talent Committee or our board of directors. The Say-on-Pay vote will, however, provide information to us regarding investor sentiment about our executive compensation philosophy, policies and practices, which the committee will be able to consider when determining executive compensation for the remainder of the current fiscal year and beyond. Our board of directors and our Compensation and Talent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and our Compensation and Talent Committee will consider our stockholders’ concerns and evaluate whether any actions are necessary to address those concerns.</w:t>
      </w:r>
    </w:p>
    <w:p>
      <w:pPr>
        <w:spacing w:after="0" w:line="180"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We believe that the information provided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and in particular the information discussed in the section entitled “</w:t>
      </w:r>
      <w:r>
        <w:rPr>
          <w:rFonts w:ascii="Arial" w:cs="Arial" w:eastAsia="Arial" w:hAnsi="Arial"/>
          <w:sz w:val="18"/>
          <w:szCs w:val="18"/>
          <w:i w:val="1"/>
          <w:iCs w:val="1"/>
          <w:color w:val="auto"/>
        </w:rPr>
        <w:t>Executive Compensation—Compensation Discussion and Analysis—Philosophy and</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w:t>
      </w:r>
      <w:r>
        <w:rPr>
          <w:rFonts w:ascii="Arial" w:cs="Arial" w:eastAsia="Arial" w:hAnsi="Arial"/>
          <w:sz w:val="18"/>
          <w:szCs w:val="18"/>
          <w:color w:val="auto"/>
        </w:rPr>
        <w:t>” beginning on page 41 below, demonstrates that our executive compensation program was designed appropriately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ensure management’s interests are aligned with our stockholders’ interests to support long-term value creation. Accordingly, we ask our stockholders to vote “FOR” the following resolution at the Annual Meeting:</w:t>
      </w:r>
    </w:p>
    <w:p>
      <w:pPr>
        <w:spacing w:after="0" w:line="176" w:lineRule="exact"/>
        <w:rPr>
          <w:sz w:val="20"/>
          <w:szCs w:val="20"/>
          <w:color w:val="auto"/>
        </w:rPr>
      </w:pPr>
    </w:p>
    <w:p>
      <w:pPr>
        <w:ind w:right="600" w:firstLine="440"/>
        <w:spacing w:after="0" w:line="253"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69"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69" w:right="4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QUALYS, INC. 2012 EQUITY INCENTIVE PLAN, AS AMENDED, RESTATED AND EXTENDED</w:t>
      </w:r>
    </w:p>
    <w:p>
      <w:pPr>
        <w:spacing w:after="0" w:line="194" w:lineRule="exact"/>
        <w:rPr>
          <w:sz w:val="20"/>
          <w:szCs w:val="20"/>
          <w:color w:val="auto"/>
        </w:rPr>
      </w:pPr>
    </w:p>
    <w:p>
      <w:pPr>
        <w:jc w:val="both"/>
        <w:ind w:right="420" w:firstLine="440"/>
        <w:spacing w:after="0" w:line="253" w:lineRule="auto"/>
        <w:rPr>
          <w:sz w:val="20"/>
          <w:szCs w:val="20"/>
          <w:color w:val="auto"/>
        </w:rPr>
      </w:pPr>
      <w:r>
        <w:rPr>
          <w:rFonts w:ascii="Arial" w:cs="Arial" w:eastAsia="Arial" w:hAnsi="Arial"/>
          <w:sz w:val="18"/>
          <w:szCs w:val="18"/>
          <w:color w:val="auto"/>
        </w:rPr>
        <w:t>We are asking stockholders to approve an amendment, restatement and extension of our 2012 Equity Incentive Plan (the “2012 Plan”). Our board of directors has adopted the amended and restated 2012 Plan (the “Restated Plan”), subject to the approval of our stockholders at the Annual Meeting.</w:t>
      </w:r>
    </w:p>
    <w:p>
      <w:pPr>
        <w:spacing w:after="0" w:line="169"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If the Restated Plan is not approved by our stockholders, then the existing current version of our 2012 Plan (the “Existing Plan”) will remain in effect until it expires in September 2022. In that case, we will be unable to continue providing equity awards as part of our compensation program and may be compelled to significantly increase the cash component of employee compensation in order to achieve our future incentive, recruiting and retention objectives. Consequently, without stockholder approval of our Restated Plan, we believe our operating cash flow and/or our ability to attract and retain the individuals necessary to drive our performance and increase long-term stockholder value will be impaired. We believe, therefore, that stockholder approval of our Restated Plan is important to our continued success.</w:t>
      </w:r>
    </w:p>
    <w:p>
      <w:pPr>
        <w:spacing w:after="0" w:line="185" w:lineRule="exact"/>
        <w:rPr>
          <w:sz w:val="20"/>
          <w:szCs w:val="20"/>
          <w:color w:val="auto"/>
        </w:rPr>
      </w:pPr>
    </w:p>
    <w:p>
      <w:pPr>
        <w:ind w:right="480" w:firstLine="440"/>
        <w:spacing w:after="0" w:line="271" w:lineRule="auto"/>
        <w:rPr>
          <w:sz w:val="20"/>
          <w:szCs w:val="20"/>
          <w:color w:val="auto"/>
        </w:rPr>
      </w:pPr>
      <w:r>
        <w:rPr>
          <w:rFonts w:ascii="Arial" w:cs="Arial" w:eastAsia="Arial" w:hAnsi="Arial"/>
          <w:sz w:val="18"/>
          <w:szCs w:val="18"/>
          <w:color w:val="auto"/>
        </w:rPr>
        <w:t>If stockholders approve the Restated Plan, then the Restated Plan will become effective on the date of the Annual Meeting (the “Restated Plan Effective Date”) and will have the following material differences from the Existing Plan:</w:t>
      </w:r>
    </w:p>
    <w:p>
      <w:pPr>
        <w:spacing w:after="0" w:line="59" w:lineRule="exact"/>
        <w:rPr>
          <w:sz w:val="20"/>
          <w:szCs w:val="20"/>
          <w:color w:val="auto"/>
        </w:rPr>
      </w:pPr>
    </w:p>
    <w:p>
      <w:pPr>
        <w:ind w:left="960" w:right="140" w:hanging="424"/>
        <w:spacing w:after="0" w:line="242"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the Restated Plan as of the Restated Plan Effective Date will be (i) 3,300,000 shares plus (ii) any shares subject to awards under the Existing Plan that, on or after the Restated Plan Effective Date, expire or otherwise terminate without having been exercised in full, or that are forfeited to or repurchased by us, not to exceed 2,712,691 shares, minus (iii) any shares subject to awards granted under the Existing Plan after March 31, 2022, but before the Restated Plan Effective Date. Any shares otherwise available for grant under the Existing Plan will no longer be available for grant under the Restated Plan as of the Restated Plan Effective Date;</w:t>
      </w:r>
    </w:p>
    <w:p>
      <w:pPr>
        <w:spacing w:after="0" w:line="84"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annual automatic share increase provision in the Existing Plan (the “Evergreen Provision”) will be eliminated;</w:t>
      </w:r>
    </w:p>
    <w:p>
      <w:pPr>
        <w:spacing w:after="0" w:line="117" w:lineRule="exact"/>
        <w:rPr>
          <w:rFonts w:ascii="Arial" w:cs="Arial" w:eastAsia="Arial" w:hAnsi="Arial"/>
          <w:sz w:val="18"/>
          <w:szCs w:val="18"/>
          <w:color w:val="auto"/>
        </w:rPr>
      </w:pPr>
    </w:p>
    <w:p>
      <w:pPr>
        <w:ind w:left="960" w:right="74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shares granted pursuant to stock appreciation rights (i.e., the gross shares granted) will cease to be available for issuance under the Restated Plan;</w:t>
      </w:r>
    </w:p>
    <w:p>
      <w:pPr>
        <w:spacing w:after="0" w:line="59" w:lineRule="exact"/>
        <w:rPr>
          <w:rFonts w:ascii="Arial" w:cs="Arial" w:eastAsia="Arial" w:hAnsi="Arial"/>
          <w:sz w:val="18"/>
          <w:szCs w:val="18"/>
          <w:color w:val="auto"/>
        </w:rPr>
      </w:pPr>
    </w:p>
    <w:p>
      <w:pPr>
        <w:ind w:left="960" w:right="24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used to pay the exercise price of any award or to satisfy the tax withholding obligations related to any award will not become available for future grant or sale under the Restated Plan;</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limits on the compensation to our non-employee directors will be added to the Restated Plan;</w:t>
      </w:r>
    </w:p>
    <w:p>
      <w:pPr>
        <w:spacing w:after="0" w:line="117" w:lineRule="exact"/>
        <w:rPr>
          <w:rFonts w:ascii="Arial" w:cs="Arial" w:eastAsia="Arial" w:hAnsi="Arial"/>
          <w:sz w:val="18"/>
          <w:szCs w:val="18"/>
          <w:color w:val="auto"/>
        </w:rPr>
      </w:pPr>
    </w:p>
    <w:p>
      <w:pPr>
        <w:ind w:left="960" w:right="68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be able to implement an exchange program to (i) exchange outstanding awards for new awards or cash or (ii) reduce the exercise price of an outstanding award;</w:t>
      </w:r>
    </w:p>
    <w:p>
      <w:pPr>
        <w:spacing w:after="0" w:line="59" w:lineRule="exact"/>
        <w:rPr>
          <w:rFonts w:ascii="Arial" w:cs="Arial" w:eastAsia="Arial" w:hAnsi="Arial"/>
          <w:sz w:val="18"/>
          <w:szCs w:val="18"/>
          <w:color w:val="auto"/>
        </w:rPr>
      </w:pPr>
    </w:p>
    <w:p>
      <w:pPr>
        <w:ind w:left="960" w:right="40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dividends or other distributions will be paid with respect to any unvested shares underlying any unvested portion of an award;</w:t>
      </w:r>
    </w:p>
    <w:p>
      <w:pPr>
        <w:spacing w:after="0" w:line="59" w:lineRule="exact"/>
        <w:rPr>
          <w:rFonts w:ascii="Arial" w:cs="Arial" w:eastAsia="Arial" w:hAnsi="Arial"/>
          <w:sz w:val="18"/>
          <w:szCs w:val="18"/>
          <w:color w:val="auto"/>
        </w:rPr>
      </w:pPr>
    </w:p>
    <w:p>
      <w:pPr>
        <w:ind w:left="960" w:right="2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administrator of the Restated Plan may not exercise discretion to accelerate the vesting of awards in a “change in control” (as defined in the Restated Plan);</w:t>
      </w:r>
    </w:p>
    <w:p>
      <w:pPr>
        <w:spacing w:after="0" w:line="59"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administrator may not provide for any tax gross up payment to any participant, or otherwise provide any participant with a right to indemnification or reimbursement, for any excise tax imposed by Section 4999 of the Code or any similar law;</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69" w:right="459" w:bottom="1440" w:gutter="0" w:footer="0" w:header="0"/>
        </w:sectPr>
      </w:pPr>
    </w:p>
    <w:bookmarkStart w:id="27" w:name="page28"/>
    <w:bookmarkEnd w:id="27"/>
    <w:p>
      <w:pPr>
        <w:jc w:val="both"/>
        <w:ind w:left="960" w:right="140" w:hanging="424"/>
        <w:spacing w:after="0" w:line="25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granted under the Restated Plan will be subject to a clawback policy and any clawback policy that we are required to implement under the listing standards of any national securities exchange or association on which our securities are listed or under applicable law; and</w:t>
      </w:r>
    </w:p>
    <w:p>
      <w:pPr>
        <w:spacing w:after="0" w:line="74"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Restated Plan will have a new 10-year term (from the date our board of directors approved the Restated Plan).</w:t>
      </w:r>
    </w:p>
    <w:p>
      <w:pPr>
        <w:spacing w:after="0" w:line="212" w:lineRule="exact"/>
        <w:rPr>
          <w:sz w:val="20"/>
          <w:szCs w:val="20"/>
          <w:color w:val="auto"/>
        </w:rPr>
      </w:pPr>
    </w:p>
    <w:p>
      <w:pPr>
        <w:jc w:val="both"/>
        <w:ind w:right="340" w:firstLine="440"/>
        <w:spacing w:after="0" w:line="247" w:lineRule="auto"/>
        <w:rPr>
          <w:sz w:val="20"/>
          <w:szCs w:val="20"/>
          <w:color w:val="auto"/>
        </w:rPr>
      </w:pPr>
      <w:r>
        <w:rPr>
          <w:rFonts w:ascii="Arial" w:cs="Arial" w:eastAsia="Arial" w:hAnsi="Arial"/>
          <w:sz w:val="18"/>
          <w:szCs w:val="18"/>
          <w:color w:val="auto"/>
        </w:rPr>
        <w:t>Currently, the number of shares of our common stock reserved for issuance under the Existing Plan is 3,050,000 shares plus any shares that were added to the Existing Plan through the Evergreen Provision. As of March 31, 2022, 7,972,872 shares of our common stock have been issued under the Existing Plan since it became effective in 2012, and 9,980,540 shares of our common stock remain available for issuance under the Existing Plan.</w:t>
      </w:r>
    </w:p>
    <w:p>
      <w:pPr>
        <w:spacing w:after="0" w:line="174" w:lineRule="exact"/>
        <w:rPr>
          <w:sz w:val="20"/>
          <w:szCs w:val="20"/>
          <w:color w:val="auto"/>
        </w:rPr>
      </w:pPr>
    </w:p>
    <w:p>
      <w:pPr>
        <w:ind w:right="140" w:firstLine="440"/>
        <w:spacing w:after="0" w:line="271" w:lineRule="auto"/>
        <w:rPr>
          <w:sz w:val="20"/>
          <w:szCs w:val="20"/>
          <w:color w:val="auto"/>
        </w:rPr>
      </w:pPr>
      <w:r>
        <w:rPr>
          <w:rFonts w:ascii="Arial" w:cs="Arial" w:eastAsia="Arial" w:hAnsi="Arial"/>
          <w:sz w:val="18"/>
          <w:szCs w:val="18"/>
          <w:color w:val="auto"/>
        </w:rPr>
        <w:t>In determining and recommending the increase to the share reserve under the Restated Plan, our board of directors considered the effect of the elimination of the Evergreen Provision and the following factors.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Available and Outstanding Share Information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shd w:val="clear" w:color="auto" w:fill="FF0C07"/>
          </w:tcPr>
          <w:p>
            <w:pPr>
              <w:spacing w:after="0"/>
              <w:rPr>
                <w:sz w:val="14"/>
                <w:szCs w:val="14"/>
                <w:color w:val="auto"/>
              </w:rPr>
            </w:pP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Number of</w:t>
            </w:r>
          </w:p>
        </w:tc>
        <w:tc>
          <w:tcPr>
            <w:tcW w:w="460" w:type="dxa"/>
            <w:vAlign w:val="bottom"/>
            <w:shd w:val="clear" w:color="auto" w:fill="FF0C07"/>
          </w:tcPr>
          <w:p>
            <w:pPr>
              <w:spacing w:after="0"/>
              <w:rPr>
                <w:sz w:val="14"/>
                <w:szCs w:val="14"/>
                <w:color w:val="auto"/>
              </w:rPr>
            </w:pPr>
          </w:p>
        </w:tc>
        <w:tc>
          <w:tcPr>
            <w:tcW w:w="1140" w:type="dxa"/>
            <w:vAlign w:val="bottom"/>
            <w:shd w:val="clear" w:color="auto" w:fill="FF0C07"/>
          </w:tcPr>
          <w:p>
            <w:pPr>
              <w:spacing w:after="0"/>
              <w:rPr>
                <w:sz w:val="14"/>
                <w:szCs w:val="14"/>
                <w:color w:val="auto"/>
              </w:rPr>
            </w:pPr>
          </w:p>
        </w:tc>
        <w:tc>
          <w:tcPr>
            <w:tcW w:w="1500" w:type="dxa"/>
            <w:vAlign w:val="bottom"/>
            <w:shd w:val="clear" w:color="auto" w:fill="FF0C07"/>
          </w:tcPr>
          <w:p>
            <w:pPr>
              <w:spacing w:after="0"/>
              <w:rPr>
                <w:sz w:val="14"/>
                <w:szCs w:val="14"/>
                <w:color w:val="auto"/>
              </w:rPr>
            </w:pP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Number of Full</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2020" w:type="dxa"/>
            <w:vAlign w:val="bottom"/>
            <w:shd w:val="clear" w:color="auto" w:fill="FF0C07"/>
          </w:tcPr>
          <w:p>
            <w:pPr>
              <w:spacing w:after="0"/>
              <w:rPr>
                <w:sz w:val="14"/>
                <w:szCs w:val="14"/>
                <w:color w:val="auto"/>
              </w:rPr>
            </w:pP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Outstanding</w:t>
            </w:r>
          </w:p>
        </w:tc>
        <w:tc>
          <w:tcPr>
            <w:tcW w:w="460" w:type="dxa"/>
            <w:vAlign w:val="bottom"/>
            <w:shd w:val="clear" w:color="auto" w:fill="FF0C07"/>
          </w:tcPr>
          <w:p>
            <w:pPr>
              <w:spacing w:after="0"/>
              <w:rPr>
                <w:sz w:val="14"/>
                <w:szCs w:val="14"/>
                <w:color w:val="auto"/>
              </w:rPr>
            </w:pPr>
          </w:p>
        </w:tc>
        <w:tc>
          <w:tcPr>
            <w:tcW w:w="1140" w:type="dxa"/>
            <w:vAlign w:val="bottom"/>
            <w:shd w:val="clear" w:color="auto" w:fill="FF0C07"/>
          </w:tcPr>
          <w:p>
            <w:pPr>
              <w:spacing w:after="0"/>
              <w:rPr>
                <w:sz w:val="14"/>
                <w:szCs w:val="14"/>
                <w:color w:val="auto"/>
              </w:rPr>
            </w:pPr>
          </w:p>
        </w:tc>
        <w:tc>
          <w:tcPr>
            <w:tcW w:w="1500" w:type="dxa"/>
            <w:vAlign w:val="bottom"/>
            <w:shd w:val="clear" w:color="auto" w:fill="FF0C07"/>
          </w:tcPr>
          <w:p>
            <w:pPr>
              <w:spacing w:after="0"/>
              <w:rPr>
                <w:sz w:val="14"/>
                <w:szCs w:val="14"/>
                <w:color w:val="auto"/>
              </w:rPr>
            </w:pP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Value Awards</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2020" w:type="dxa"/>
            <w:vAlign w:val="bottom"/>
            <w:shd w:val="clear" w:color="auto" w:fill="FF0C07"/>
          </w:tcPr>
          <w:p>
            <w:pPr>
              <w:spacing w:after="0"/>
              <w:rPr>
                <w:sz w:val="14"/>
                <w:szCs w:val="14"/>
                <w:color w:val="auto"/>
              </w:rPr>
            </w:pP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Appreciation</w:t>
            </w:r>
          </w:p>
        </w:tc>
        <w:tc>
          <w:tcPr>
            <w:tcW w:w="460" w:type="dxa"/>
            <w:vAlign w:val="bottom"/>
            <w:shd w:val="clear" w:color="auto" w:fill="FF0C07"/>
          </w:tcPr>
          <w:p>
            <w:pPr>
              <w:spacing w:after="0"/>
              <w:rPr>
                <w:sz w:val="14"/>
                <w:szCs w:val="14"/>
                <w:color w:val="auto"/>
              </w:rPr>
            </w:pPr>
          </w:p>
        </w:tc>
        <w:tc>
          <w:tcPr>
            <w:tcW w:w="1140" w:type="dxa"/>
            <w:vAlign w:val="bottom"/>
            <w:shd w:val="clear" w:color="auto" w:fill="FF0C07"/>
          </w:tcPr>
          <w:p>
            <w:pPr>
              <w:spacing w:after="0"/>
              <w:rPr>
                <w:sz w:val="14"/>
                <w:szCs w:val="14"/>
                <w:color w:val="auto"/>
              </w:rPr>
            </w:pPr>
          </w:p>
        </w:tc>
        <w:tc>
          <w:tcPr>
            <w:tcW w:w="1500" w:type="dxa"/>
            <w:vAlign w:val="bottom"/>
            <w:shd w:val="clear" w:color="auto" w:fill="FF0C07"/>
          </w:tcPr>
          <w:p>
            <w:pPr>
              <w:jc w:val="right"/>
              <w:ind w:right="244"/>
              <w:spacing w:after="0"/>
              <w:rPr>
                <w:sz w:val="20"/>
                <w:szCs w:val="20"/>
                <w:color w:val="auto"/>
              </w:rPr>
            </w:pPr>
            <w:r>
              <w:rPr>
                <w:rFonts w:ascii="Arial" w:cs="Arial" w:eastAsia="Arial" w:hAnsi="Arial"/>
                <w:sz w:val="14"/>
                <w:szCs w:val="14"/>
                <w:b w:val="1"/>
                <w:bCs w:val="1"/>
                <w:color w:val="FFFFFF"/>
              </w:rPr>
              <w:t>Weighted-</w:t>
            </w: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Outstanding</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2020" w:type="dxa"/>
            <w:vAlign w:val="bottom"/>
            <w:shd w:val="clear" w:color="auto" w:fill="FF0C07"/>
          </w:tcPr>
          <w:p>
            <w:pPr>
              <w:spacing w:after="0"/>
              <w:rPr>
                <w:sz w:val="14"/>
                <w:szCs w:val="14"/>
                <w:color w:val="auto"/>
              </w:rPr>
            </w:pP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Awards Under</w:t>
            </w:r>
          </w:p>
        </w:tc>
        <w:tc>
          <w:tcPr>
            <w:tcW w:w="460" w:type="dxa"/>
            <w:vAlign w:val="bottom"/>
            <w:shd w:val="clear" w:color="auto" w:fill="FF0C07"/>
          </w:tcPr>
          <w:p>
            <w:pPr>
              <w:spacing w:after="0"/>
              <w:rPr>
                <w:sz w:val="14"/>
                <w:szCs w:val="14"/>
                <w:color w:val="auto"/>
              </w:rPr>
            </w:pPr>
          </w:p>
        </w:tc>
        <w:tc>
          <w:tcPr>
            <w:tcW w:w="1140" w:type="dxa"/>
            <w:vAlign w:val="bottom"/>
            <w:shd w:val="clear" w:color="auto" w:fill="FF0C07"/>
          </w:tcPr>
          <w:p>
            <w:pPr>
              <w:jc w:val="right"/>
              <w:ind w:right="282"/>
              <w:spacing w:after="0"/>
              <w:rPr>
                <w:sz w:val="20"/>
                <w:szCs w:val="20"/>
                <w:color w:val="auto"/>
              </w:rPr>
            </w:pPr>
            <w:r>
              <w:rPr>
                <w:rFonts w:ascii="Arial" w:cs="Arial" w:eastAsia="Arial" w:hAnsi="Arial"/>
                <w:sz w:val="14"/>
                <w:szCs w:val="14"/>
                <w:b w:val="1"/>
                <w:bCs w:val="1"/>
                <w:color w:val="FFFFFF"/>
              </w:rPr>
              <w:t>Weighted-</w:t>
            </w:r>
          </w:p>
        </w:tc>
        <w:tc>
          <w:tcPr>
            <w:tcW w:w="1500" w:type="dxa"/>
            <w:vAlign w:val="bottom"/>
            <w:shd w:val="clear" w:color="auto" w:fill="FF0C07"/>
          </w:tcPr>
          <w:p>
            <w:pPr>
              <w:jc w:val="right"/>
              <w:ind w:right="244"/>
              <w:spacing w:after="0"/>
              <w:rPr>
                <w:sz w:val="20"/>
                <w:szCs w:val="20"/>
                <w:color w:val="auto"/>
              </w:rPr>
            </w:pPr>
            <w:r>
              <w:rPr>
                <w:rFonts w:ascii="Arial" w:cs="Arial" w:eastAsia="Arial" w:hAnsi="Arial"/>
                <w:sz w:val="14"/>
                <w:szCs w:val="14"/>
                <w:b w:val="1"/>
                <w:bCs w:val="1"/>
                <w:color w:val="FFFFFF"/>
              </w:rPr>
              <w:t>Average</w:t>
            </w: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Under All</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Grant Under All</w:t>
            </w:r>
          </w:p>
        </w:tc>
      </w:tr>
      <w:tr>
        <w:trPr>
          <w:trHeight w:val="162"/>
        </w:trPr>
        <w:tc>
          <w:tcPr>
            <w:tcW w:w="2020" w:type="dxa"/>
            <w:vAlign w:val="bottom"/>
            <w:shd w:val="clear" w:color="auto" w:fill="FF0C07"/>
          </w:tcPr>
          <w:p>
            <w:pPr>
              <w:spacing w:after="0"/>
              <w:rPr>
                <w:sz w:val="14"/>
                <w:szCs w:val="14"/>
                <w:color w:val="auto"/>
              </w:rPr>
            </w:pP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All Equity</w:t>
            </w:r>
          </w:p>
        </w:tc>
        <w:tc>
          <w:tcPr>
            <w:tcW w:w="460" w:type="dxa"/>
            <w:vAlign w:val="bottom"/>
            <w:shd w:val="clear" w:color="auto" w:fill="FF0C07"/>
          </w:tcPr>
          <w:p>
            <w:pPr>
              <w:spacing w:after="0"/>
              <w:rPr>
                <w:sz w:val="14"/>
                <w:szCs w:val="14"/>
                <w:color w:val="auto"/>
              </w:rPr>
            </w:pPr>
          </w:p>
        </w:tc>
        <w:tc>
          <w:tcPr>
            <w:tcW w:w="1140" w:type="dxa"/>
            <w:vAlign w:val="bottom"/>
            <w:shd w:val="clear" w:color="auto" w:fill="FF0C07"/>
          </w:tcPr>
          <w:p>
            <w:pPr>
              <w:jc w:val="right"/>
              <w:ind w:right="282"/>
              <w:spacing w:after="0"/>
              <w:rPr>
                <w:sz w:val="20"/>
                <w:szCs w:val="20"/>
                <w:color w:val="auto"/>
              </w:rPr>
            </w:pPr>
            <w:r>
              <w:rPr>
                <w:rFonts w:ascii="Arial" w:cs="Arial" w:eastAsia="Arial" w:hAnsi="Arial"/>
                <w:sz w:val="14"/>
                <w:szCs w:val="14"/>
                <w:b w:val="1"/>
                <w:bCs w:val="1"/>
                <w:color w:val="FFFFFF"/>
              </w:rPr>
              <w:t>Average</w:t>
            </w:r>
          </w:p>
        </w:tc>
        <w:tc>
          <w:tcPr>
            <w:tcW w:w="1500" w:type="dxa"/>
            <w:vAlign w:val="bottom"/>
            <w:shd w:val="clear" w:color="auto" w:fill="FF0C07"/>
          </w:tcPr>
          <w:p>
            <w:pPr>
              <w:jc w:val="right"/>
              <w:ind w:right="244"/>
              <w:spacing w:after="0"/>
              <w:rPr>
                <w:sz w:val="20"/>
                <w:szCs w:val="20"/>
                <w:color w:val="auto"/>
              </w:rPr>
            </w:pPr>
            <w:r>
              <w:rPr>
                <w:rFonts w:ascii="Arial" w:cs="Arial" w:eastAsia="Arial" w:hAnsi="Arial"/>
                <w:sz w:val="14"/>
                <w:szCs w:val="14"/>
                <w:b w:val="1"/>
                <w:bCs w:val="1"/>
                <w:color w:val="FFFFFF"/>
              </w:rPr>
              <w:t>Remaining</w:t>
            </w: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Equity</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Equity</w:t>
            </w:r>
          </w:p>
        </w:tc>
      </w:tr>
      <w:tr>
        <w:trPr>
          <w:trHeight w:val="171"/>
        </w:trPr>
        <w:tc>
          <w:tcPr>
            <w:tcW w:w="202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As Of Date</w:t>
            </w:r>
          </w:p>
        </w:tc>
        <w:tc>
          <w:tcPr>
            <w:tcW w:w="2520" w:type="dxa"/>
            <w:vAlign w:val="bottom"/>
            <w:shd w:val="clear" w:color="auto" w:fill="FF0C07"/>
          </w:tcPr>
          <w:p>
            <w:pPr>
              <w:jc w:val="right"/>
              <w:ind w:right="185"/>
              <w:spacing w:after="0"/>
              <w:rPr>
                <w:sz w:val="20"/>
                <w:szCs w:val="20"/>
                <w:color w:val="auto"/>
              </w:rPr>
            </w:pPr>
            <w:r>
              <w:rPr>
                <w:rFonts w:ascii="Arial" w:cs="Arial" w:eastAsia="Arial" w:hAnsi="Arial"/>
                <w:sz w:val="14"/>
                <w:szCs w:val="14"/>
                <w:b w:val="1"/>
                <w:bCs w:val="1"/>
                <w:color w:val="FFFFFF"/>
              </w:rPr>
              <w:t>Incentive Plans</w:t>
            </w:r>
          </w:p>
        </w:tc>
        <w:tc>
          <w:tcPr>
            <w:tcW w:w="1600" w:type="dxa"/>
            <w:vAlign w:val="bottom"/>
            <w:gridSpan w:val="2"/>
            <w:shd w:val="clear" w:color="auto" w:fill="FF0C07"/>
          </w:tcPr>
          <w:p>
            <w:pPr>
              <w:jc w:val="right"/>
              <w:ind w:right="282"/>
              <w:spacing w:after="0"/>
              <w:rPr>
                <w:sz w:val="20"/>
                <w:szCs w:val="20"/>
                <w:color w:val="auto"/>
              </w:rPr>
            </w:pPr>
            <w:r>
              <w:rPr>
                <w:rFonts w:ascii="Arial" w:cs="Arial" w:eastAsia="Arial" w:hAnsi="Arial"/>
                <w:sz w:val="14"/>
                <w:szCs w:val="14"/>
                <w:b w:val="1"/>
                <w:bCs w:val="1"/>
                <w:color w:val="FFFFFF"/>
              </w:rPr>
              <w:t>Exercise Price</w:t>
            </w:r>
          </w:p>
        </w:tc>
        <w:tc>
          <w:tcPr>
            <w:tcW w:w="1500" w:type="dxa"/>
            <w:vAlign w:val="bottom"/>
            <w:shd w:val="clear" w:color="auto" w:fill="FF0C07"/>
          </w:tcPr>
          <w:p>
            <w:pPr>
              <w:jc w:val="right"/>
              <w:ind w:right="244"/>
              <w:spacing w:after="0"/>
              <w:rPr>
                <w:sz w:val="20"/>
                <w:szCs w:val="20"/>
                <w:color w:val="auto"/>
              </w:rPr>
            </w:pPr>
            <w:r>
              <w:rPr>
                <w:rFonts w:ascii="Arial" w:cs="Arial" w:eastAsia="Arial" w:hAnsi="Arial"/>
                <w:sz w:val="14"/>
                <w:szCs w:val="14"/>
                <w:b w:val="1"/>
                <w:bCs w:val="1"/>
                <w:color w:val="FFFFFF"/>
              </w:rPr>
              <w:t>Term</w:t>
            </w:r>
          </w:p>
        </w:tc>
        <w:tc>
          <w:tcPr>
            <w:tcW w:w="168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Incentive Plans</w:t>
            </w:r>
          </w:p>
        </w:tc>
        <w:tc>
          <w:tcPr>
            <w:tcW w:w="1700" w:type="dxa"/>
            <w:vAlign w:val="bottom"/>
            <w:shd w:val="clear" w:color="auto" w:fill="FF0C07"/>
          </w:tcPr>
          <w:p>
            <w:pPr>
              <w:jc w:val="right"/>
              <w:ind w:right="245"/>
              <w:spacing w:after="0"/>
              <w:rPr>
                <w:sz w:val="20"/>
                <w:szCs w:val="20"/>
                <w:color w:val="auto"/>
              </w:rPr>
            </w:pPr>
            <w:r>
              <w:rPr>
                <w:rFonts w:ascii="Arial" w:cs="Arial" w:eastAsia="Arial" w:hAnsi="Arial"/>
                <w:sz w:val="14"/>
                <w:szCs w:val="14"/>
                <w:b w:val="1"/>
                <w:bCs w:val="1"/>
                <w:color w:val="FFFFFF"/>
              </w:rPr>
              <w:t>Incentive Plans</w:t>
            </w: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3/31/2022</w:t>
            </w:r>
          </w:p>
        </w:tc>
        <w:tc>
          <w:tcPr>
            <w:tcW w:w="2520" w:type="dxa"/>
            <w:vAlign w:val="bottom"/>
          </w:tcPr>
          <w:p>
            <w:pPr>
              <w:jc w:val="right"/>
              <w:ind w:right="185"/>
              <w:spacing w:after="0"/>
              <w:rPr>
                <w:sz w:val="20"/>
                <w:szCs w:val="20"/>
                <w:color w:val="auto"/>
              </w:rPr>
            </w:pPr>
            <w:r>
              <w:rPr>
                <w:rFonts w:ascii="Arial" w:cs="Arial" w:eastAsia="Arial" w:hAnsi="Arial"/>
                <w:sz w:val="18"/>
                <w:szCs w:val="18"/>
                <w:color w:val="auto"/>
              </w:rPr>
              <w:t>1,861,210</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82"/>
              <w:spacing w:after="0"/>
              <w:rPr>
                <w:sz w:val="20"/>
                <w:szCs w:val="20"/>
                <w:color w:val="auto"/>
              </w:rPr>
            </w:pPr>
            <w:r>
              <w:rPr>
                <w:rFonts w:ascii="Arial" w:cs="Arial" w:eastAsia="Arial" w:hAnsi="Arial"/>
                <w:sz w:val="18"/>
                <w:szCs w:val="18"/>
                <w:color w:val="auto"/>
              </w:rPr>
              <w:t>70.46</w:t>
            </w:r>
          </w:p>
        </w:tc>
        <w:tc>
          <w:tcPr>
            <w:tcW w:w="1500" w:type="dxa"/>
            <w:vAlign w:val="bottom"/>
          </w:tcPr>
          <w:p>
            <w:pPr>
              <w:jc w:val="right"/>
              <w:ind w:right="244"/>
              <w:spacing w:after="0"/>
              <w:rPr>
                <w:sz w:val="20"/>
                <w:szCs w:val="20"/>
                <w:color w:val="auto"/>
              </w:rPr>
            </w:pPr>
            <w:r>
              <w:rPr>
                <w:rFonts w:ascii="Arial" w:cs="Arial" w:eastAsia="Arial" w:hAnsi="Arial"/>
                <w:sz w:val="18"/>
                <w:szCs w:val="18"/>
                <w:color w:val="auto"/>
              </w:rPr>
              <w:t>6.06 years</w:t>
            </w:r>
          </w:p>
        </w:tc>
        <w:tc>
          <w:tcPr>
            <w:tcW w:w="1680" w:type="dxa"/>
            <w:vAlign w:val="bottom"/>
          </w:tcPr>
          <w:p>
            <w:pPr>
              <w:jc w:val="right"/>
              <w:ind w:right="245"/>
              <w:spacing w:after="0"/>
              <w:rPr>
                <w:sz w:val="20"/>
                <w:szCs w:val="20"/>
                <w:color w:val="auto"/>
              </w:rPr>
            </w:pPr>
            <w:r>
              <w:rPr>
                <w:rFonts w:ascii="Arial" w:cs="Arial" w:eastAsia="Arial" w:hAnsi="Arial"/>
                <w:sz w:val="18"/>
                <w:szCs w:val="18"/>
                <w:color w:val="auto"/>
              </w:rPr>
              <w:t>851,481</w:t>
            </w:r>
          </w:p>
        </w:tc>
        <w:tc>
          <w:tcPr>
            <w:tcW w:w="1700" w:type="dxa"/>
            <w:vAlign w:val="bottom"/>
          </w:tcPr>
          <w:p>
            <w:pPr>
              <w:jc w:val="right"/>
              <w:ind w:right="245"/>
              <w:spacing w:after="0"/>
              <w:rPr>
                <w:sz w:val="20"/>
                <w:szCs w:val="20"/>
                <w:color w:val="auto"/>
              </w:rPr>
            </w:pPr>
            <w:r>
              <w:rPr>
                <w:rFonts w:ascii="Arial" w:cs="Arial" w:eastAsia="Arial" w:hAnsi="Arial"/>
                <w:sz w:val="18"/>
                <w:szCs w:val="18"/>
                <w:color w:val="auto"/>
              </w:rPr>
              <w:t>9,980,540</w:t>
            </w:r>
          </w:p>
        </w:tc>
      </w:tr>
    </w:tbl>
    <w:p>
      <w:pPr>
        <w:spacing w:after="0" w:line="161" w:lineRule="exact"/>
        <w:rPr>
          <w:sz w:val="20"/>
          <w:szCs w:val="20"/>
          <w:color w:val="auto"/>
        </w:rPr>
      </w:pPr>
    </w:p>
    <w:p>
      <w:pPr>
        <w:ind w:right="220" w:firstLine="440"/>
        <w:spacing w:after="0" w:line="247" w:lineRule="auto"/>
        <w:rPr>
          <w:sz w:val="20"/>
          <w:szCs w:val="20"/>
          <w:color w:val="auto"/>
        </w:rPr>
      </w:pPr>
      <w:r>
        <w:rPr>
          <w:rFonts w:ascii="Arial" w:cs="Arial" w:eastAsia="Arial" w:hAnsi="Arial"/>
          <w:sz w:val="18"/>
          <w:szCs w:val="18"/>
          <w:u w:val="single" w:color="auto"/>
          <w:color w:val="auto"/>
        </w:rPr>
        <w:t>Historical Grant Practices</w:t>
      </w:r>
      <w:r>
        <w:rPr>
          <w:rFonts w:ascii="Arial" w:cs="Arial" w:eastAsia="Arial" w:hAnsi="Arial"/>
          <w:sz w:val="18"/>
          <w:szCs w:val="18"/>
          <w:color w:val="auto"/>
        </w:rPr>
        <w:t>. Our board of directors considered the historical numbers of time-based stock options, time-based restricted stock units (“RSUs”), performance-based stock options, and performance-based restricted stock units (“PRSUs”) that we have granted in the past three fiscal years. The annual share usage, or burn rate, under our equity compensation program for the last three fiscal years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shd w:val="clear" w:color="auto" w:fill="FF0C07"/>
          </w:tcPr>
          <w:p>
            <w:pPr>
              <w:spacing w:after="0"/>
              <w:rPr>
                <w:sz w:val="14"/>
                <w:szCs w:val="14"/>
                <w:color w:val="auto"/>
              </w:rPr>
            </w:pPr>
          </w:p>
        </w:tc>
        <w:tc>
          <w:tcPr>
            <w:tcW w:w="1600" w:type="dxa"/>
            <w:vAlign w:val="bottom"/>
            <w:shd w:val="clear" w:color="auto" w:fill="FF0C07"/>
          </w:tcPr>
          <w:p>
            <w:pPr>
              <w:spacing w:after="0"/>
              <w:rPr>
                <w:sz w:val="14"/>
                <w:szCs w:val="14"/>
                <w:color w:val="auto"/>
              </w:rPr>
            </w:pPr>
          </w:p>
        </w:tc>
        <w:tc>
          <w:tcPr>
            <w:tcW w:w="1380" w:type="dxa"/>
            <w:vAlign w:val="bottom"/>
            <w:shd w:val="clear" w:color="auto" w:fill="FF0C07"/>
          </w:tcPr>
          <w:p>
            <w:pPr>
              <w:spacing w:after="0"/>
              <w:rPr>
                <w:sz w:val="14"/>
                <w:szCs w:val="14"/>
                <w:color w:val="auto"/>
              </w:rPr>
            </w:pPr>
          </w:p>
        </w:tc>
        <w:tc>
          <w:tcPr>
            <w:tcW w:w="1340" w:type="dxa"/>
            <w:vAlign w:val="bottom"/>
            <w:shd w:val="clear" w:color="auto" w:fill="FF0C07"/>
          </w:tcPr>
          <w:p>
            <w:pPr>
              <w:spacing w:after="0"/>
              <w:rPr>
                <w:sz w:val="14"/>
                <w:szCs w:val="14"/>
                <w:color w:val="auto"/>
              </w:rPr>
            </w:pPr>
          </w:p>
        </w:tc>
        <w:tc>
          <w:tcPr>
            <w:tcW w:w="1240" w:type="dxa"/>
            <w:vAlign w:val="bottom"/>
            <w:shd w:val="clear" w:color="auto" w:fill="FF0C07"/>
          </w:tcPr>
          <w:p>
            <w:pPr>
              <w:jc w:val="right"/>
              <w:ind w:right="254"/>
              <w:spacing w:after="0"/>
              <w:rPr>
                <w:sz w:val="20"/>
                <w:szCs w:val="20"/>
                <w:color w:val="auto"/>
              </w:rPr>
            </w:pPr>
            <w:r>
              <w:rPr>
                <w:rFonts w:ascii="Arial" w:cs="Arial" w:eastAsia="Arial" w:hAnsi="Arial"/>
                <w:sz w:val="14"/>
                <w:szCs w:val="14"/>
                <w:b w:val="1"/>
                <w:bCs w:val="1"/>
                <w:color w:val="FFFFFF"/>
              </w:rPr>
              <w:t>Three-Year</w:t>
            </w:r>
          </w:p>
        </w:tc>
      </w:tr>
      <w:tr>
        <w:trPr>
          <w:trHeight w:val="171"/>
        </w:trPr>
        <w:tc>
          <w:tcPr>
            <w:tcW w:w="546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Annual Share Usage</w:t>
            </w:r>
          </w:p>
        </w:tc>
        <w:tc>
          <w:tcPr>
            <w:tcW w:w="1600" w:type="dxa"/>
            <w:vAlign w:val="bottom"/>
            <w:shd w:val="clear" w:color="auto" w:fill="FF0C07"/>
          </w:tcPr>
          <w:p>
            <w:pPr>
              <w:jc w:val="right"/>
              <w:ind w:right="332"/>
              <w:spacing w:after="0"/>
              <w:rPr>
                <w:sz w:val="20"/>
                <w:szCs w:val="20"/>
                <w:color w:val="auto"/>
              </w:rPr>
            </w:pPr>
            <w:r>
              <w:rPr>
                <w:rFonts w:ascii="Arial" w:cs="Arial" w:eastAsia="Arial" w:hAnsi="Arial"/>
                <w:sz w:val="14"/>
                <w:szCs w:val="14"/>
                <w:b w:val="1"/>
                <w:bCs w:val="1"/>
                <w:color w:val="FFFFFF"/>
              </w:rPr>
              <w:t>Fiscal 2019</w:t>
            </w:r>
          </w:p>
        </w:tc>
        <w:tc>
          <w:tcPr>
            <w:tcW w:w="1380" w:type="dxa"/>
            <w:vAlign w:val="bottom"/>
            <w:shd w:val="clear" w:color="auto" w:fill="FF0C07"/>
          </w:tcPr>
          <w:p>
            <w:pPr>
              <w:jc w:val="right"/>
              <w:ind w:right="332"/>
              <w:spacing w:after="0"/>
              <w:rPr>
                <w:sz w:val="20"/>
                <w:szCs w:val="20"/>
                <w:color w:val="auto"/>
              </w:rPr>
            </w:pPr>
            <w:r>
              <w:rPr>
                <w:rFonts w:ascii="Arial" w:cs="Arial" w:eastAsia="Arial" w:hAnsi="Arial"/>
                <w:sz w:val="14"/>
                <w:szCs w:val="14"/>
                <w:b w:val="1"/>
                <w:bCs w:val="1"/>
                <w:color w:val="FFFFFF"/>
              </w:rPr>
              <w:t>Fiscal 2020</w:t>
            </w:r>
          </w:p>
        </w:tc>
        <w:tc>
          <w:tcPr>
            <w:tcW w:w="1340" w:type="dxa"/>
            <w:vAlign w:val="bottom"/>
            <w:shd w:val="clear" w:color="auto" w:fill="FF0C07"/>
          </w:tcPr>
          <w:p>
            <w:pPr>
              <w:jc w:val="right"/>
              <w:ind w:right="272"/>
              <w:spacing w:after="0"/>
              <w:rPr>
                <w:sz w:val="20"/>
                <w:szCs w:val="20"/>
                <w:color w:val="auto"/>
              </w:rPr>
            </w:pPr>
            <w:r>
              <w:rPr>
                <w:rFonts w:ascii="Arial" w:cs="Arial" w:eastAsia="Arial" w:hAnsi="Arial"/>
                <w:sz w:val="14"/>
                <w:szCs w:val="14"/>
                <w:b w:val="1"/>
                <w:bCs w:val="1"/>
                <w:color w:val="FFFFFF"/>
              </w:rPr>
              <w:t>Fiscal 2021</w:t>
            </w:r>
          </w:p>
        </w:tc>
        <w:tc>
          <w:tcPr>
            <w:tcW w:w="1240" w:type="dxa"/>
            <w:vAlign w:val="bottom"/>
            <w:shd w:val="clear" w:color="auto" w:fill="FF0C07"/>
          </w:tcPr>
          <w:p>
            <w:pPr>
              <w:jc w:val="right"/>
              <w:ind w:right="334"/>
              <w:spacing w:after="0"/>
              <w:rPr>
                <w:sz w:val="20"/>
                <w:szCs w:val="20"/>
                <w:color w:val="auto"/>
              </w:rPr>
            </w:pPr>
            <w:r>
              <w:rPr>
                <w:rFonts w:ascii="Arial" w:cs="Arial" w:eastAsia="Arial" w:hAnsi="Arial"/>
                <w:sz w:val="14"/>
                <w:szCs w:val="14"/>
                <w:b w:val="1"/>
                <w:bCs w:val="1"/>
                <w:color w:val="FFFFFF"/>
              </w:rPr>
              <w:t>Average</w:t>
            </w:r>
          </w:p>
        </w:tc>
      </w:tr>
      <w:tr>
        <w:trPr>
          <w:trHeight w:val="184"/>
        </w:trPr>
        <w:tc>
          <w:tcPr>
            <w:tcW w:w="5460" w:type="dxa"/>
            <w:vAlign w:val="bottom"/>
          </w:tcPr>
          <w:p>
            <w:pPr>
              <w:spacing w:after="0" w:line="183" w:lineRule="exact"/>
              <w:rPr>
                <w:sz w:val="20"/>
                <w:szCs w:val="20"/>
                <w:color w:val="auto"/>
              </w:rPr>
            </w:pPr>
            <w:r>
              <w:rPr>
                <w:rFonts w:ascii="Arial" w:cs="Arial" w:eastAsia="Arial" w:hAnsi="Arial"/>
                <w:sz w:val="18"/>
                <w:szCs w:val="18"/>
                <w:color w:val="auto"/>
              </w:rPr>
              <w:t>Stock Options Granted</w:t>
            </w:r>
          </w:p>
        </w:tc>
        <w:tc>
          <w:tcPr>
            <w:tcW w:w="1600" w:type="dxa"/>
            <w:vAlign w:val="bottom"/>
          </w:tcPr>
          <w:p>
            <w:pPr>
              <w:jc w:val="right"/>
              <w:ind w:right="232"/>
              <w:spacing w:after="0" w:line="183" w:lineRule="exact"/>
              <w:rPr>
                <w:sz w:val="20"/>
                <w:szCs w:val="20"/>
                <w:color w:val="auto"/>
              </w:rPr>
            </w:pPr>
            <w:r>
              <w:rPr>
                <w:rFonts w:ascii="Arial" w:cs="Arial" w:eastAsia="Arial" w:hAnsi="Arial"/>
                <w:sz w:val="18"/>
                <w:szCs w:val="18"/>
                <w:color w:val="auto"/>
              </w:rPr>
              <w:t>372,289</w:t>
            </w:r>
          </w:p>
        </w:tc>
        <w:tc>
          <w:tcPr>
            <w:tcW w:w="1380" w:type="dxa"/>
            <w:vAlign w:val="bottom"/>
          </w:tcPr>
          <w:p>
            <w:pPr>
              <w:jc w:val="right"/>
              <w:ind w:right="232"/>
              <w:spacing w:after="0" w:line="183" w:lineRule="exact"/>
              <w:rPr>
                <w:sz w:val="20"/>
                <w:szCs w:val="20"/>
                <w:color w:val="auto"/>
              </w:rPr>
            </w:pPr>
            <w:r>
              <w:rPr>
                <w:rFonts w:ascii="Arial" w:cs="Arial" w:eastAsia="Arial" w:hAnsi="Arial"/>
                <w:sz w:val="18"/>
                <w:szCs w:val="18"/>
                <w:color w:val="auto"/>
              </w:rPr>
              <w:t>369,950</w:t>
            </w:r>
          </w:p>
        </w:tc>
        <w:tc>
          <w:tcPr>
            <w:tcW w:w="1340" w:type="dxa"/>
            <w:vAlign w:val="bottom"/>
          </w:tcPr>
          <w:p>
            <w:pPr>
              <w:jc w:val="right"/>
              <w:ind w:right="172"/>
              <w:spacing w:after="0" w:line="183" w:lineRule="exact"/>
              <w:rPr>
                <w:sz w:val="20"/>
                <w:szCs w:val="20"/>
                <w:color w:val="auto"/>
              </w:rPr>
            </w:pPr>
            <w:r>
              <w:rPr>
                <w:rFonts w:ascii="Arial" w:cs="Arial" w:eastAsia="Arial" w:hAnsi="Arial"/>
                <w:sz w:val="18"/>
                <w:szCs w:val="18"/>
                <w:color w:val="auto"/>
              </w:rPr>
              <w:t>494,925</w:t>
            </w:r>
          </w:p>
        </w:tc>
        <w:tc>
          <w:tcPr>
            <w:tcW w:w="1240" w:type="dxa"/>
            <w:vAlign w:val="bottom"/>
          </w:tcPr>
          <w:p>
            <w:pPr>
              <w:jc w:val="right"/>
              <w:ind w:right="134"/>
              <w:spacing w:after="0" w:line="183" w:lineRule="exact"/>
              <w:rPr>
                <w:sz w:val="20"/>
                <w:szCs w:val="20"/>
                <w:color w:val="auto"/>
              </w:rPr>
            </w:pPr>
            <w:r>
              <w:rPr>
                <w:rFonts w:ascii="Arial" w:cs="Arial" w:eastAsia="Arial" w:hAnsi="Arial"/>
                <w:sz w:val="18"/>
                <w:szCs w:val="18"/>
                <w:color w:val="auto"/>
              </w:rPr>
              <w:t>412,388</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RSUs Granted</w:t>
            </w:r>
          </w:p>
        </w:tc>
        <w:tc>
          <w:tcPr>
            <w:tcW w:w="1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525,144</w:t>
            </w:r>
          </w:p>
        </w:tc>
        <w:tc>
          <w:tcPr>
            <w:tcW w:w="13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527,311</w:t>
            </w: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538,032</w:t>
            </w:r>
          </w:p>
        </w:tc>
        <w:tc>
          <w:tcPr>
            <w:tcW w:w="12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530,162</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Performance-based Stock Options Granted</w:t>
            </w:r>
          </w:p>
        </w:tc>
        <w:tc>
          <w:tcPr>
            <w:tcW w:w="1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123,856</w:t>
            </w:r>
          </w:p>
        </w:tc>
        <w:tc>
          <w:tcPr>
            <w:tcW w:w="13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223,744</w:t>
            </w:r>
          </w:p>
        </w:tc>
        <w:tc>
          <w:tcPr>
            <w:tcW w:w="13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173,800</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PRSUs Granted</w:t>
            </w:r>
          </w:p>
        </w:tc>
        <w:tc>
          <w:tcPr>
            <w:tcW w:w="16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34,103</w:t>
            </w:r>
          </w:p>
        </w:tc>
        <w:tc>
          <w:tcPr>
            <w:tcW w:w="12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11,368</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Total Equity Awards Granted</w:t>
            </w:r>
          </w:p>
        </w:tc>
        <w:tc>
          <w:tcPr>
            <w:tcW w:w="1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1,021,289</w:t>
            </w:r>
          </w:p>
        </w:tc>
        <w:tc>
          <w:tcPr>
            <w:tcW w:w="13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1,121,005</w:t>
            </w: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1,067,060</w:t>
            </w:r>
          </w:p>
        </w:tc>
        <w:tc>
          <w:tcPr>
            <w:tcW w:w="12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1,069,785</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Basic Weighted Average Shares of Common Stock Outstanding</w:t>
            </w:r>
          </w:p>
        </w:tc>
        <w:tc>
          <w:tcPr>
            <w:tcW w:w="1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39,075,196</w:t>
            </w:r>
          </w:p>
        </w:tc>
        <w:tc>
          <w:tcPr>
            <w:tcW w:w="13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39,167,454</w:t>
            </w: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39,029,805</w:t>
            </w:r>
          </w:p>
        </w:tc>
        <w:tc>
          <w:tcPr>
            <w:tcW w:w="12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39,090,818</w:t>
            </w:r>
          </w:p>
        </w:tc>
      </w:tr>
      <w:tr>
        <w:trPr>
          <w:trHeight w:val="239"/>
        </w:trPr>
        <w:tc>
          <w:tcPr>
            <w:tcW w:w="5460" w:type="dxa"/>
            <w:vAlign w:val="bottom"/>
          </w:tcPr>
          <w:p>
            <w:pPr>
              <w:spacing w:after="0"/>
              <w:rPr>
                <w:sz w:val="20"/>
                <w:szCs w:val="20"/>
                <w:color w:val="auto"/>
              </w:rPr>
            </w:pPr>
            <w:r>
              <w:rPr>
                <w:rFonts w:ascii="Arial" w:cs="Arial" w:eastAsia="Arial" w:hAnsi="Arial"/>
                <w:sz w:val="18"/>
                <w:szCs w:val="18"/>
                <w:color w:val="auto"/>
              </w:rPr>
              <w:t>Annual Share Usage</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80"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color w:val="auto"/>
        </w:rPr>
        <w:t>Our three-year burn rate, which we define as the number of shares subject to equity awards granted in a year divided by the weighted average shares of common stock outstanding for that fiscal year, is 3%, which is within the industry guidelines recommended by Institutional Shareholder Services (“ISS”). Our senior management, our Compensation and Talent Committee, and Mercer, the independent consultants to our Compensation and Talent Committee, reviewed our burn rate as compared to our industry peer companies.</w:t>
      </w:r>
    </w:p>
    <w:p>
      <w:pPr>
        <w:spacing w:after="0" w:line="176"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u w:val="single" w:color="auto"/>
          <w:color w:val="auto"/>
        </w:rPr>
        <w:t>Forecasted Grant Practices</w:t>
      </w:r>
      <w:r>
        <w:rPr>
          <w:rFonts w:ascii="Arial" w:cs="Arial" w:eastAsia="Arial" w:hAnsi="Arial"/>
          <w:sz w:val="18"/>
          <w:szCs w:val="18"/>
          <w:color w:val="auto"/>
        </w:rPr>
        <w:t>. We currently forecast granting equity awards covering approximately 2 to 3 million shares over the next two-year period, which is equal to 5% to 8% of our weighted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6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average common stock outstanding for the quarter ended March 31, 2022. In light of this forecast and the elimination of the Evergreen Provision, we believe, and our board of directors considered, that the number of shares that will be added to the share reserve under Restated Plan will provide a sufficient number of shares to allow us to grant equity awards for the purpose of our expected new hires, focal awards, any special retention needs and employee growth through any opportunistic acquisitions or hiring for the next two</w:t>
      </w:r>
    </w:p>
    <w:p>
      <w:pPr>
        <w:ind w:right="40"/>
        <w:spacing w:after="0" w:line="250" w:lineRule="auto"/>
        <w:rPr>
          <w:sz w:val="20"/>
          <w:szCs w:val="20"/>
          <w:color w:val="auto"/>
        </w:rPr>
      </w:pPr>
      <w:r>
        <w:rPr>
          <w:rFonts w:ascii="Arial" w:cs="Arial" w:eastAsia="Arial" w:hAnsi="Arial"/>
          <w:sz w:val="18"/>
          <w:szCs w:val="18"/>
          <w:color w:val="auto"/>
        </w:rPr>
        <w:t>years. However, circumstances could alter this projection, such as a change in business conditions, our stock price, competitive pressures for attracting and retaining employees, or our company strategy.</w:t>
      </w:r>
    </w:p>
    <w:p>
      <w:pPr>
        <w:spacing w:after="0" w:line="172" w:lineRule="exact"/>
        <w:rPr>
          <w:sz w:val="20"/>
          <w:szCs w:val="20"/>
          <w:color w:val="auto"/>
        </w:rPr>
      </w:pPr>
    </w:p>
    <w:p>
      <w:pPr>
        <w:ind w:right="280" w:firstLine="440"/>
        <w:spacing w:after="0" w:line="247" w:lineRule="auto"/>
        <w:rPr>
          <w:sz w:val="20"/>
          <w:szCs w:val="20"/>
          <w:color w:val="auto"/>
        </w:rPr>
      </w:pPr>
      <w:r>
        <w:rPr>
          <w:rFonts w:ascii="Arial" w:cs="Arial" w:eastAsia="Arial" w:hAnsi="Arial"/>
          <w:sz w:val="18"/>
          <w:szCs w:val="18"/>
          <w:u w:val="single" w:color="auto"/>
          <w:color w:val="auto"/>
        </w:rPr>
        <w:t>Awards Outstanding Under Existing Grants</w:t>
      </w:r>
      <w:r>
        <w:rPr>
          <w:rFonts w:ascii="Arial" w:cs="Arial" w:eastAsia="Arial" w:hAnsi="Arial"/>
          <w:sz w:val="18"/>
          <w:szCs w:val="18"/>
          <w:color w:val="auto"/>
        </w:rPr>
        <w:t>. We have outstanding, as of March 31, 2022 time-based stock options covering approximately 1,861,210 shares, approximately 817,378 unvested RSUs, and approximately 34,103 unvested PRSUs. Accordingly, the approximately 2,712,691 shares subject to these outstanding equity awards (commonly referred to as the “overhang”) represent approximately 7% of our common stock outstanding as of March 31, 2022.</w:t>
      </w:r>
    </w:p>
    <w:p>
      <w:pPr>
        <w:spacing w:after="0" w:line="174" w:lineRule="exact"/>
        <w:rPr>
          <w:sz w:val="20"/>
          <w:szCs w:val="20"/>
          <w:color w:val="auto"/>
        </w:rPr>
      </w:pPr>
    </w:p>
    <w:p>
      <w:pPr>
        <w:ind w:right="180" w:firstLine="440"/>
        <w:spacing w:after="0" w:line="244" w:lineRule="auto"/>
        <w:rPr>
          <w:sz w:val="20"/>
          <w:szCs w:val="20"/>
          <w:color w:val="auto"/>
        </w:rPr>
      </w:pPr>
      <w:r>
        <w:rPr>
          <w:rFonts w:ascii="Arial" w:cs="Arial" w:eastAsia="Arial" w:hAnsi="Arial"/>
          <w:sz w:val="18"/>
          <w:szCs w:val="18"/>
          <w:u w:val="single" w:color="auto"/>
          <w:color w:val="auto"/>
        </w:rPr>
        <w:t>Modeling Analysis</w:t>
      </w:r>
      <w:r>
        <w:rPr>
          <w:rFonts w:ascii="Arial" w:cs="Arial" w:eastAsia="Arial" w:hAnsi="Arial"/>
          <w:sz w:val="18"/>
          <w:szCs w:val="18"/>
          <w:color w:val="auto"/>
        </w:rPr>
        <w:t>. We considered various proposed stockholder models for identifying the number of shares that should be added to the Restated Plan so as to set appropriate limits on the awards to be granted under the Restated Plan. While the model we selected only represented one analysis subject to a number of assumptions, we and our board of directors considered the model as the most appropriate benchmark for purposes of determining the number of shares that should be added to the Restated Plan, and the 3,300,000 shares we are seeking to add to the Restated Plan is within the number of shares suggested by the model.</w:t>
      </w:r>
    </w:p>
    <w:p>
      <w:pPr>
        <w:spacing w:after="0" w:line="17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Our executive officers and directors have an interest in the approval of the Restated Plan by our stockholders because they would be eligible to receive awards under the Restated Plan. Our board of directors and the Compensation and Talent Committee have approved the Restated Plan, subject to the approval of our stockholders at the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Restated Plan</w:t>
      </w:r>
    </w:p>
    <w:p>
      <w:pPr>
        <w:spacing w:after="0" w:line="104"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Our Restated Plan was approved by our board of directors on April 6, 2022. The following general description of material features of the Restated Plan is qualified in its entirety by reference to the provisions of the Restated Plan set forth in Appendix A of this proxy statement.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Our Restated Plan provides for the grant of incentive stock options, within the meaning of Section 422 of the Internal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Code of 1986, as amended (the “Code”), to our employees and any parent and subsidiary corporations’ employees, and for the</w:t>
      </w:r>
    </w:p>
    <w:p>
      <w:pPr>
        <w:spacing w:after="0" w:line="234" w:lineRule="auto"/>
        <w:rPr>
          <w:sz w:val="20"/>
          <w:szCs w:val="20"/>
          <w:color w:val="auto"/>
        </w:rPr>
      </w:pPr>
      <w:r>
        <w:rPr>
          <w:rFonts w:ascii="Arial" w:cs="Arial" w:eastAsia="Arial" w:hAnsi="Arial"/>
          <w:sz w:val="18"/>
          <w:szCs w:val="18"/>
          <w:color w:val="auto"/>
        </w:rPr>
        <w:t>grant of nonstatutory stock options, restricted stock, restricted stock units, stock appreciation rights, performance units and performance</w:t>
      </w:r>
    </w:p>
    <w:p>
      <w:pPr>
        <w:spacing w:after="0" w:line="235" w:lineRule="auto"/>
        <w:rPr>
          <w:sz w:val="20"/>
          <w:szCs w:val="20"/>
          <w:color w:val="auto"/>
        </w:rPr>
      </w:pPr>
      <w:r>
        <w:rPr>
          <w:rFonts w:ascii="Arial" w:cs="Arial" w:eastAsia="Arial" w:hAnsi="Arial"/>
          <w:sz w:val="18"/>
          <w:szCs w:val="18"/>
          <w:color w:val="auto"/>
        </w:rPr>
        <w:t>shares to our employees, directors and consultants and our parent and subsidiary corporations’ employees and consultants. As of</w:t>
      </w:r>
    </w:p>
    <w:p>
      <w:pPr>
        <w:spacing w:after="0" w:line="235" w:lineRule="auto"/>
        <w:rPr>
          <w:sz w:val="20"/>
          <w:szCs w:val="20"/>
          <w:color w:val="auto"/>
        </w:rPr>
      </w:pPr>
      <w:r>
        <w:rPr>
          <w:rFonts w:ascii="Arial" w:cs="Arial" w:eastAsia="Arial" w:hAnsi="Arial"/>
          <w:sz w:val="18"/>
          <w:szCs w:val="18"/>
          <w:color w:val="auto"/>
        </w:rPr>
        <w:t>March 31, 2022, we had seven non-employee directors and approximately 1,876 employees (including our one employee director) and 16</w:t>
      </w:r>
    </w:p>
    <w:p>
      <w:pPr>
        <w:spacing w:after="0"/>
        <w:rPr>
          <w:sz w:val="20"/>
          <w:szCs w:val="20"/>
          <w:color w:val="auto"/>
        </w:rPr>
      </w:pPr>
      <w:r>
        <w:rPr>
          <w:rFonts w:ascii="Arial" w:cs="Arial" w:eastAsia="Arial" w:hAnsi="Arial"/>
          <w:sz w:val="18"/>
          <w:szCs w:val="18"/>
          <w:color w:val="auto"/>
        </w:rPr>
        <w:t>consultants.</w:t>
      </w:r>
    </w:p>
    <w:p>
      <w:pPr>
        <w:spacing w:after="0" w:line="194" w:lineRule="exact"/>
        <w:rPr>
          <w:sz w:val="20"/>
          <w:szCs w:val="20"/>
          <w:color w:val="auto"/>
        </w:rPr>
      </w:pPr>
    </w:p>
    <w:p>
      <w:pPr>
        <w:ind w:firstLine="440"/>
        <w:spacing w:after="0"/>
        <w:rPr>
          <w:sz w:val="20"/>
          <w:szCs w:val="20"/>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total number of shares of our common stock reserved for issuance under our Restated Plan from the Restated Plan Effective Date is (i) 3,300,000 shares, plus (ii) any shares subject to awards under the Existing Plan that, on or after the Restated Plan Effective Date, expire or otherwise terminate without having been exercised in full, or that are forfeited to or repurchased by us, with the maximum number of shares to be added to the Restated Plan as a result of clause (ii) equal to 2,712,691 shares, minus (iii) any shares subject to awards granted under the Existing Plan after March 31, 2022, but before the Restated Plan Effective Date. For clarity, shares used to pay the exercise price of an award granted under the Existing Plan or to satisfy the tax withholding obligations related to an award granted under the Existing Plan will not be added to the Restated Plan. The shares may be authorized, but unissued, or reacquired common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29" w:name="page30"/>
    <w:bookmarkEnd w:id="29"/>
    <w:p>
      <w:pPr>
        <w:ind w:right="20" w:firstLine="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if an award expires or becomes unexercisable without having been exercised in full or, with respect to restricted stock, restricted stock units, performance units or performance shares, is forfeited to or repurchased by us due to failure to vest, the unpurchased shares (or for awards other than options or stock appreciation rights, the forfeited or repurchased shares) that were subject to such awards will become available for future grant or sale under the Restated Plan (unless it has terminated). With respect to stock appreciation rights, all shares granted (i.e., the gross shares granted) will cease to be available. Shares used to pay the exercise price of an award or to satisfy the tax withholding obligations related to an award will not become available for future grant or sale. To the extent an award is paid out in cash rather than shares, such cash payment will not reduce the number of shares available for issuance.</w:t>
      </w:r>
    </w:p>
    <w:p>
      <w:pPr>
        <w:spacing w:after="0" w:line="185" w:lineRule="exact"/>
        <w:rPr>
          <w:sz w:val="20"/>
          <w:szCs w:val="20"/>
          <w:color w:val="auto"/>
        </w:rPr>
      </w:pPr>
    </w:p>
    <w:p>
      <w:pPr>
        <w:ind w:right="340" w:firstLine="440"/>
        <w:spacing w:after="0" w:line="247" w:lineRule="auto"/>
        <w:rPr>
          <w:sz w:val="20"/>
          <w:szCs w:val="20"/>
          <w:color w:val="auto"/>
        </w:rPr>
      </w:pPr>
      <w:r>
        <w:rPr>
          <w:rFonts w:ascii="Arial" w:cs="Arial" w:eastAsia="Arial" w:hAnsi="Arial"/>
          <w:sz w:val="18"/>
          <w:szCs w:val="18"/>
          <w:color w:val="auto"/>
        </w:rPr>
        <w:t>As of March 31, 2022, options to purchase 1,844,725 shares of our common stock and 851,481 restricted stock units were outstanding under the Existing Plan, and options to purchase 16,485 shares of common stock were outstanding under our 2000 Equity Incentive Plan. As of the same date, the closing price of a share of our common stock as reported on The Nasdaq Stock Market was $142.41.</w:t>
      </w:r>
    </w:p>
    <w:p>
      <w:pPr>
        <w:spacing w:after="0" w:line="17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Our board of directors or a committee appointed by our board of directors administers our Restated Plan. Currently, our Compensation and Talent Committee administers our Restated Plan. Different committees may administer our Restated Plan with respect to different groups of service providers. To make grants to certain officers and key employees, the members of the committee must qualify as “non-employee directors” under Rule 16b-3 of the Exchange Act.</w:t>
      </w:r>
    </w:p>
    <w:p>
      <w:pPr>
        <w:spacing w:after="0" w:line="174"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Subject to the provisions of our Restated Plan, the administrator generally has the power to make all determinations deemed necessary or advisable for administering the Restated Plan. The administrator has the power to select the eligible employees, consultants, and directors to whom awards may be granted and to determine the terms of awards, including the exercise price (if any), the number of shares subject to each such award, the time when awards may vest or be exercised (including the ability to accelerate the vesting and exercisability of awards, except for any discretionary acceleration in a change in control), and the form of consideration payable upon exercise, if applicable. The administrator also has the power to determine the fair market value of our common stock; approve forms of award agreements for use under the Restated Plan; to construe and interpret the terms of the Restated Plan and awards granted under the Restated Plan; prescribe, amend, and rescind rules and regulations relating to the Restated Plan; and modify or amend each award, subject to the provisions of our Restated Plan. The administrator may not institute an exchange program under which (i) outstanding awards are surrendered or cancelled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(iii) and/or the exercise price of an outstanding award is increased or reduced. The administrator’s decisions, determinations, and interpretations are final and binding on all participants and any other holders of awards.</w:t>
      </w:r>
    </w:p>
    <w:p>
      <w:pPr>
        <w:spacing w:after="0" w:line="189" w:lineRule="exact"/>
        <w:rPr>
          <w:sz w:val="20"/>
          <w:szCs w:val="20"/>
          <w:color w:val="auto"/>
        </w:rPr>
      </w:pPr>
    </w:p>
    <w:p>
      <w:pPr>
        <w:ind w:right="120" w:firstLine="440"/>
        <w:spacing w:after="0" w:line="23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Options may be granted under our Restated Plan. Subject to the provisions of our Restated Plan, the administrator determines the terms and conditions of options, including when such options vest and become exercisable (and the administrator has the discretion to accelerate the time at which such options will vest or become exercisable, except for any discretionary acceleration in a change in control).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69" w:right="439" w:bottom="1440" w:gutter="0" w:footer="0" w:header="0"/>
        </w:sectPr>
      </w:pPr>
    </w:p>
    <w:bookmarkStart w:id="30" w:name="page31"/>
    <w:bookmarkEnd w:id="30"/>
    <w:p>
      <w:pPr>
        <w:ind w:right="1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may exercise the vested portion of his or her option for the period of time stated in his or her option agreement. Generally, our option agreements provide that (i) if termination is due to death or disability, the option will remain exercisable for 12 months, and (ii) in all other cases, the option will remain exercisable for 3 months following the termination of service. However, in no event may an option be exercised later than the expiration of its term.</w:t>
      </w:r>
    </w:p>
    <w:p>
      <w:pPr>
        <w:spacing w:after="0" w:line="17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Stock appreciation rights may be granted under our Restated Plan. Stock appreciation rights allow the recipient to receive the appreciation in the fair market value of our common stock between the exercise date and the date of grant. Subject to the provisions of our Restated Plan, the administrator determines the terms and conditions of stock appreciation rights, including when such rights vest and become exercisable (and the administrator has the discretion to accelerate the time at which such rights will vest or become exercisable, except for any discretionary acceleration in a change in control) and whether to pay any increased appreciation in cash, shares of our common stock, or a combination of both. The per share exercise price of a stock appreciation right must be at least 100% of the fair market value per share on the date of grant.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183" w:lineRule="exact"/>
        <w:rPr>
          <w:sz w:val="20"/>
          <w:szCs w:val="20"/>
          <w:color w:val="auto"/>
        </w:rPr>
      </w:pPr>
    </w:p>
    <w:p>
      <w:pPr>
        <w:ind w:right="60" w:firstLine="440"/>
        <w:spacing w:after="0"/>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Restricted stock may be granted under our Restated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except for any discretionary acceleration in a change in control. Shares of restricted stock that do not vest are subject to our right of repurchase or forfeiture.</w:t>
      </w:r>
    </w:p>
    <w:p>
      <w:pPr>
        <w:spacing w:after="0" w:line="185" w:lineRule="exact"/>
        <w:rPr>
          <w:sz w:val="20"/>
          <w:szCs w:val="20"/>
          <w:color w:val="auto"/>
        </w:rPr>
      </w:pPr>
    </w:p>
    <w:p>
      <w:pPr>
        <w:ind w:right="140" w:firstLine="440"/>
        <w:spacing w:after="0" w:line="244" w:lineRule="auto"/>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Restricted stock units may be granted under our Restated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except for any discretionary acceleration in a change in control.</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7"/>
          <w:szCs w:val="17"/>
          <w:u w:val="single" w:color="auto"/>
          <w:color w:val="auto"/>
        </w:rPr>
        <w:t>Performance Units and Shares</w:t>
      </w:r>
      <w:r>
        <w:rPr>
          <w:rFonts w:ascii="Arial" w:cs="Arial" w:eastAsia="Arial" w:hAnsi="Arial"/>
          <w:sz w:val="17"/>
          <w:szCs w:val="17"/>
          <w:color w:val="auto"/>
        </w:rPr>
        <w:t>. Performance units and performance shares may be granted under our Restated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except for any discretionary reduction or waiver in a change in control. Performance units will have an initial dollar value established by the administrator on or before to the grant date. Performance shares will have an initial value equal to the fair market value of our common stock on the grant date. The administrator has the discretion to pay earned performance units or performance shares in the form of cash, shares, or in some combination of both.</w:t>
      </w:r>
    </w:p>
    <w:p>
      <w:pPr>
        <w:spacing w:after="0" w:line="169"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the administrator provides otherwise, our Restated Plan generally does not allow for the transfer of awards and only the recipient of an award may exercise an award during his or her lifetime.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69" w:right="459" w:bottom="1440" w:gutter="0" w:footer="0" w:header="0"/>
        </w:sectPr>
      </w:pPr>
    </w:p>
    <w:bookmarkStart w:id="31" w:name="page32"/>
    <w:bookmarkEnd w:id="31"/>
    <w:p>
      <w:pPr>
        <w:ind w:right="20" w:firstLine="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Directors</w:t>
      </w:r>
      <w:r>
        <w:rPr>
          <w:rFonts w:ascii="Arial" w:cs="Arial" w:eastAsia="Arial" w:hAnsi="Arial"/>
          <w:sz w:val="18"/>
          <w:szCs w:val="18"/>
          <w:color w:val="auto"/>
        </w:rPr>
        <w:t>. Our Restated Plan provides that any outside (non-employee) director, in any fiscal year, may not be granted cash compensation and/or equity awards under our Restated Plan with an aggregate value (determined in accordance with generally accepted accounting principles (“GAAP”)) of more than $1,000,000, except that this limit will be increased to $ 2,000,000 in our fiscal year of an individual’s initial service as an outside director. Any equity awards granted under our Restated Plan to an outside director for his or her services as an employee, or for his or her services as an employee or as a consultant (other than as a non-employee director), will not count for purposes of the limitation. This limit does not reflect the intended size of any potential compensation or equity awards to our outside (non-employee) directors.</w:t>
      </w:r>
    </w:p>
    <w:p>
      <w:pPr>
        <w:spacing w:after="0" w:line="185" w:lineRule="exact"/>
        <w:rPr>
          <w:sz w:val="20"/>
          <w:szCs w:val="20"/>
          <w:color w:val="auto"/>
        </w:rPr>
      </w:pPr>
    </w:p>
    <w:p>
      <w:pPr>
        <w:ind w:right="200" w:firstLine="440"/>
        <w:spacing w:after="0" w:line="247" w:lineRule="auto"/>
        <w:rPr>
          <w:sz w:val="20"/>
          <w:szCs w:val="20"/>
          <w:color w:val="auto"/>
        </w:rPr>
      </w:pPr>
      <w:r>
        <w:rPr>
          <w:rFonts w:ascii="Arial" w:cs="Arial" w:eastAsia="Arial" w:hAnsi="Arial"/>
          <w:sz w:val="18"/>
          <w:szCs w:val="18"/>
          <w:u w:val="single" w:color="auto"/>
          <w:color w:val="auto"/>
        </w:rPr>
        <w:t>Other Limitations</w:t>
      </w:r>
      <w:r>
        <w:rPr>
          <w:rFonts w:ascii="Arial" w:cs="Arial" w:eastAsia="Arial" w:hAnsi="Arial"/>
          <w:sz w:val="18"/>
          <w:szCs w:val="18"/>
          <w:i w:val="1"/>
          <w:iCs w:val="1"/>
          <w:color w:val="auto"/>
        </w:rPr>
        <w:t>.</w:t>
      </w:r>
      <w:r>
        <w:rPr>
          <w:rFonts w:ascii="Arial" w:cs="Arial" w:eastAsia="Arial" w:hAnsi="Arial"/>
          <w:sz w:val="18"/>
          <w:szCs w:val="18"/>
          <w:color w:val="auto"/>
        </w:rPr>
        <w:t xml:space="preserve"> No dividends or other distributions may be paid with respect to any unvested shares underlying any unvested portion of an award. In addition, the administrator may not provide for any tax gross up payment to any participant, or otherwise provide any participant with a right to indemnification or reimbursement, for any excise tax imposed by Section 4999 of the Code or any similar law.</w:t>
      </w:r>
    </w:p>
    <w:p>
      <w:pPr>
        <w:spacing w:after="0" w:line="174"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If there are certain changes in our capitalization, the administrator will adjust the number and class of shares that may be delivered under the Restated Plan; the number, class, and price of shares covered by each outstanding award; and the numerical share limits contained in the Restated Plan.</w:t>
      </w:r>
    </w:p>
    <w:p>
      <w:pPr>
        <w:spacing w:after="0" w:line="169"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If there is a proposed liquidation or dissolution of our company, the administrator will notify participants as soon as practicable before the effective date of such event and all awards, to the extent that they have not been previously exercised, will terminate immediately before the consummation of such event.</w:t>
      </w:r>
    </w:p>
    <w:p>
      <w:pPr>
        <w:spacing w:after="0" w:line="169" w:lineRule="exact"/>
        <w:rPr>
          <w:sz w:val="20"/>
          <w:szCs w:val="20"/>
          <w:color w:val="auto"/>
        </w:rPr>
      </w:pPr>
    </w:p>
    <w:p>
      <w:pPr>
        <w:ind w:right="160" w:firstLine="440"/>
        <w:spacing w:after="0" w:line="239" w:lineRule="auto"/>
        <w:rPr>
          <w:sz w:val="20"/>
          <w:szCs w:val="20"/>
          <w:color w:val="auto"/>
        </w:rPr>
      </w:pP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Our Restated Plan provides that if there is a merger of the company with or into another company or entity or a change in control of our company, each outstanding award will be treated as the administrator determines, except that the administrator may not exercise discretion to accelerate the vesting or lapse of restrictions applicable to an award in a change in control.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except that any already achieved cumulative performance over 100% in prior performance periods will vest at the actual achieved percentage, and the administrator will notify the participant that such award will become fully exercisable, if applicable, for a specified period before the transaction. The award will then terminate upon the expiration of the specified period of time.</w:t>
      </w:r>
    </w:p>
    <w:p>
      <w:pPr>
        <w:spacing w:after="0" w:line="183"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With respect to awards held by a non-employee director that are assumed or substituted for, if such non-employee director’s service as a director of ours or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in the event.</w:t>
      </w:r>
    </w:p>
    <w:p>
      <w:pPr>
        <w:spacing w:after="0" w:line="179"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u w:val="single" w:color="auto"/>
          <w:color w:val="auto"/>
        </w:rPr>
        <w:t>Forfeiture Events</w:t>
      </w:r>
      <w:r>
        <w:rPr>
          <w:rFonts w:ascii="Arial" w:cs="Arial" w:eastAsia="Arial" w:hAnsi="Arial"/>
          <w:sz w:val="18"/>
          <w:szCs w:val="18"/>
          <w:i w:val="1"/>
          <w:iCs w:val="1"/>
          <w:color w:val="auto"/>
        </w:rPr>
        <w:t>.</w:t>
      </w:r>
      <w:r>
        <w:rPr>
          <w:rFonts w:ascii="Arial" w:cs="Arial" w:eastAsia="Arial" w:hAnsi="Arial"/>
          <w:sz w:val="18"/>
          <w:szCs w:val="18"/>
          <w:color w:val="auto"/>
        </w:rPr>
        <w:t xml:space="preserve"> Awards granted under the Restated Plan will be subject to recoupment under our current clawback policy and any clawback policy that we are required to adopt under the listing standards of any national securities exchange or association on which our securities are listed or under</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69" w:right="519" w:bottom="1440" w:gutter="0" w:footer="0" w:header="0"/>
        </w:sectPr>
      </w:pPr>
    </w:p>
    <w:bookmarkStart w:id="32" w:name="page33"/>
    <w:bookmarkEnd w:id="32"/>
    <w:p>
      <w:pPr>
        <w:ind w:right="50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w:t>
      </w:r>
    </w:p>
    <w:p>
      <w:pPr>
        <w:spacing w:after="0" w:line="176" w:lineRule="exact"/>
        <w:rPr>
          <w:sz w:val="20"/>
          <w:szCs w:val="20"/>
          <w:color w:val="auto"/>
        </w:rPr>
      </w:pPr>
    </w:p>
    <w:p>
      <w:pPr>
        <w:ind w:right="320" w:firstLine="440"/>
        <w:spacing w:after="0" w:line="253" w:lineRule="auto"/>
        <w:rPr>
          <w:sz w:val="20"/>
          <w:szCs w:val="20"/>
          <w:color w:val="auto"/>
        </w:rPr>
      </w:pPr>
      <w:r>
        <w:rPr>
          <w:rFonts w:ascii="Arial" w:cs="Arial" w:eastAsia="Arial" w:hAnsi="Arial"/>
          <w:sz w:val="18"/>
          <w:szCs w:val="18"/>
          <w:u w:val="single" w:color="auto"/>
          <w:color w:val="auto"/>
        </w:rPr>
        <w:t>Plan Amendments and Termination</w:t>
      </w:r>
      <w:r>
        <w:rPr>
          <w:rFonts w:ascii="Arial" w:cs="Arial" w:eastAsia="Arial" w:hAnsi="Arial"/>
          <w:sz w:val="18"/>
          <w:szCs w:val="18"/>
          <w:color w:val="auto"/>
        </w:rPr>
        <w:t>. Our Restated Plan will automatically terminate in 2032, unless we terminate it sooner. In addition, our board of directors has the authority to amend, suspend, or terminate the Restated Plan, but such action will not impair the rights of any participant without his or her written consent.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04"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Restated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w:t>
      </w:r>
    </w:p>
    <w:p>
      <w:pPr>
        <w:spacing w:after="0" w:line="17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83" w:lineRule="exact"/>
        <w:rPr>
          <w:sz w:val="20"/>
          <w:szCs w:val="20"/>
          <w:color w:val="auto"/>
        </w:rPr>
      </w:pPr>
    </w:p>
    <w:p>
      <w:pPr>
        <w:ind w:right="260" w:firstLine="440"/>
        <w:spacing w:after="0" w:line="244"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76" w:lineRule="exact"/>
        <w:rPr>
          <w:sz w:val="20"/>
          <w:szCs w:val="20"/>
          <w:color w:val="auto"/>
        </w:rPr>
      </w:pPr>
    </w:p>
    <w:p>
      <w:pPr>
        <w:jc w:val="both"/>
        <w:ind w:right="40" w:firstLine="440"/>
        <w:spacing w:after="0" w:line="253" w:lineRule="auto"/>
        <w:rPr>
          <w:sz w:val="20"/>
          <w:szCs w:val="20"/>
          <w:color w:val="auto"/>
        </w:rPr>
      </w:pPr>
      <w:r>
        <w:rPr>
          <w:rFonts w:ascii="Arial" w:cs="Arial" w:eastAsia="Arial" w:hAnsi="Arial"/>
          <w:sz w:val="18"/>
          <w:szCs w:val="18"/>
          <w:u w:val="single" w:color="auto"/>
          <w:color w:val="auto"/>
        </w:rPr>
        <w:t>Nonstatutory Stock Options</w:t>
      </w:r>
      <w:r>
        <w:rPr>
          <w:rFonts w:ascii="Arial" w:cs="Arial" w:eastAsia="Arial" w:hAnsi="Arial"/>
          <w:sz w:val="18"/>
          <w:szCs w:val="18"/>
          <w:color w:val="auto"/>
        </w:rPr>
        <w:t>. 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69" w:right="459" w:bottom="1440" w:gutter="0" w:footer="0" w:header="0"/>
        </w:sectPr>
      </w:pPr>
    </w:p>
    <w:bookmarkStart w:id="33" w:name="page34"/>
    <w:bookmarkEnd w:id="33"/>
    <w:p>
      <w:pPr>
        <w:jc w:val="both"/>
        <w:ind w:right="1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No tax deduction is available to the Company with respect to the grant of a nonstatutory stock option or the sale of the stock acquired through such grant.</w:t>
      </w:r>
    </w:p>
    <w:p>
      <w:pPr>
        <w:spacing w:after="0" w:line="172" w:lineRule="exact"/>
        <w:rPr>
          <w:sz w:val="20"/>
          <w:szCs w:val="20"/>
          <w:color w:val="auto"/>
        </w:rPr>
      </w:pPr>
    </w:p>
    <w:p>
      <w:pPr>
        <w:ind w:right="260" w:firstLine="440"/>
        <w:spacing w:after="0" w:line="247"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In general, no taxable income is reportable when a stock appreciation right is granted to a participant. Upon exercise, the participant generally will recognize ordinary income in an amount equal to the fair market value of any shares of our common stock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174"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 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through a restricted stock award, any gain or loss, based on the difference between the sale price and the fair market value on the date the ordinary income tax event occurs, will be taxed as capital gain or loss.</w:t>
      </w:r>
    </w:p>
    <w:p>
      <w:pPr>
        <w:spacing w:after="0" w:line="179" w:lineRule="exact"/>
        <w:rPr>
          <w:sz w:val="20"/>
          <w:szCs w:val="20"/>
          <w:color w:val="auto"/>
        </w:rPr>
      </w:pPr>
    </w:p>
    <w:p>
      <w:pPr>
        <w:ind w:right="80" w:firstLine="440"/>
        <w:spacing w:after="0" w:line="261"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There generally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166"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 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79" w:lineRule="exact"/>
        <w:rPr>
          <w:sz w:val="20"/>
          <w:szCs w:val="20"/>
          <w:color w:val="auto"/>
        </w:rPr>
      </w:pPr>
    </w:p>
    <w:p>
      <w:pPr>
        <w:ind w:right="100" w:firstLine="440"/>
        <w:spacing w:after="0" w:line="239" w:lineRule="auto"/>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Section 409A of the Code provides certain requirements for non-qualified deferred compensation arrangements with respect to an individual’s deferral and distribution elections and permissible distribution events. Awards granted under the Restated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before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69" w:right="479" w:bottom="1440" w:gutter="0" w:footer="0" w:header="0"/>
        </w:sectPr>
      </w:pPr>
    </w:p>
    <w:bookmarkStart w:id="34" w:name="page35"/>
    <w:bookmarkEnd w:id="34"/>
    <w:p>
      <w:pPr>
        <w:ind w:left="4" w:right="180" w:firstLine="440"/>
        <w:spacing w:after="0" w:line="24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Medicare Surtax</w:t>
      </w:r>
      <w:r>
        <w:rPr>
          <w:rFonts w:ascii="Arial" w:cs="Arial" w:eastAsia="Arial" w:hAnsi="Arial"/>
          <w:sz w:val="18"/>
          <w:szCs w:val="18"/>
          <w:color w:val="auto"/>
        </w:rPr>
        <w:t>. A participant’s annual “net investment income,” as defined in Section 1411 of the Internal Revenue Code, may be subject to a 3.8% federal surtax (generally referred to as the “Medicare Surtax”). Net investment income may include capital gain and/or loss arising from the disposition of shares subject to a participant’s awards under the Restated Plan. Whether a participant’s net investment income will be subject to the Medicare Surtax will depend on the participant’s level of annual income and other factors.</w:t>
      </w:r>
    </w:p>
    <w:p>
      <w:pPr>
        <w:spacing w:after="0" w:line="174"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7"/>
          <w:szCs w:val="17"/>
          <w:u w:val="single" w:color="auto"/>
          <w:color w:val="auto"/>
        </w:rPr>
        <w:t>Tax Effect for the Company</w:t>
      </w:r>
      <w:r>
        <w:rPr>
          <w:rFonts w:ascii="Arial" w:cs="Arial" w:eastAsia="Arial" w:hAnsi="Arial"/>
          <w:sz w:val="17"/>
          <w:szCs w:val="17"/>
          <w:color w:val="auto"/>
        </w:rPr>
        <w:t>. The Company generally will be entitled to a tax deduction in connection with an award under the Restated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 Plan Benefits</w:t>
      </w:r>
    </w:p>
    <w:p>
      <w:pPr>
        <w:spacing w:after="0" w:line="104" w:lineRule="exact"/>
        <w:rPr>
          <w:sz w:val="20"/>
          <w:szCs w:val="20"/>
          <w:color w:val="auto"/>
        </w:rPr>
      </w:pPr>
    </w:p>
    <w:p>
      <w:pPr>
        <w:ind w:left="4" w:firstLine="440"/>
        <w:spacing w:after="0"/>
        <w:rPr>
          <w:sz w:val="20"/>
          <w:szCs w:val="20"/>
          <w:color w:val="auto"/>
        </w:rPr>
      </w:pPr>
      <w:r>
        <w:rPr>
          <w:rFonts w:ascii="Arial" w:cs="Arial" w:eastAsia="Arial" w:hAnsi="Arial"/>
          <w:sz w:val="18"/>
          <w:szCs w:val="18"/>
          <w:color w:val="auto"/>
        </w:rPr>
        <w:t>The number of awards that an employee, director, or consultant may receive under the Restated Plan is in the discretion of the administrator and therefore cannot be 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 (A) the aggregate number of shares subject to stock options (including performance-based stock options at target levels) granted under the Existing Plan during fiscal year 2021, (B) the average per share exercise price of such options, (C) the aggregate number of restricted stock units (including RSUs and PRSUs at target levels) granted under the Existing Plan during fiscal year 2021, and (D) the dollar value of such RSUs and PRSUs.</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60" w:type="dxa"/>
            <w:vAlign w:val="bottom"/>
            <w:shd w:val="clear" w:color="auto" w:fill="FF0C07"/>
          </w:tcPr>
          <w:p>
            <w:pPr>
              <w:spacing w:after="0"/>
              <w:rPr>
                <w:sz w:val="14"/>
                <w:szCs w:val="14"/>
                <w:color w:val="auto"/>
              </w:rPr>
            </w:pPr>
          </w:p>
        </w:tc>
        <w:tc>
          <w:tcPr>
            <w:tcW w:w="1900" w:type="dxa"/>
            <w:vAlign w:val="bottom"/>
            <w:shd w:val="clear" w:color="auto" w:fill="FF0C07"/>
          </w:tcPr>
          <w:p>
            <w:pPr>
              <w:spacing w:after="0"/>
              <w:rPr>
                <w:sz w:val="14"/>
                <w:szCs w:val="14"/>
                <w:color w:val="auto"/>
              </w:rPr>
            </w:pPr>
          </w:p>
        </w:tc>
        <w:tc>
          <w:tcPr>
            <w:tcW w:w="300" w:type="dxa"/>
            <w:vAlign w:val="bottom"/>
            <w:shd w:val="clear" w:color="auto" w:fill="FF0C07"/>
          </w:tcPr>
          <w:p>
            <w:pPr>
              <w:spacing w:after="0"/>
              <w:rPr>
                <w:sz w:val="14"/>
                <w:szCs w:val="14"/>
                <w:color w:val="auto"/>
              </w:rPr>
            </w:pPr>
          </w:p>
        </w:tc>
        <w:tc>
          <w:tcPr>
            <w:tcW w:w="860" w:type="dxa"/>
            <w:vAlign w:val="bottom"/>
            <w:shd w:val="clear" w:color="auto" w:fill="FF0C07"/>
          </w:tcPr>
          <w:p>
            <w:pPr>
              <w:jc w:val="right"/>
              <w:ind w:right="156"/>
              <w:spacing w:after="0"/>
              <w:rPr>
                <w:sz w:val="20"/>
                <w:szCs w:val="20"/>
                <w:color w:val="auto"/>
              </w:rPr>
            </w:pPr>
            <w:r>
              <w:rPr>
                <w:rFonts w:ascii="Arial" w:cs="Arial" w:eastAsia="Arial" w:hAnsi="Arial"/>
                <w:sz w:val="14"/>
                <w:szCs w:val="14"/>
                <w:b w:val="1"/>
                <w:bCs w:val="1"/>
                <w:color w:val="FFFFFF"/>
              </w:rPr>
              <w:t>Average</w:t>
            </w:r>
          </w:p>
        </w:tc>
        <w:tc>
          <w:tcPr>
            <w:tcW w:w="1040" w:type="dxa"/>
            <w:vAlign w:val="bottom"/>
            <w:shd w:val="clear" w:color="auto" w:fill="FF0C07"/>
          </w:tcPr>
          <w:p>
            <w:pPr>
              <w:spacing w:after="0"/>
              <w:rPr>
                <w:sz w:val="14"/>
                <w:szCs w:val="14"/>
                <w:color w:val="auto"/>
              </w:rPr>
            </w:pPr>
          </w:p>
        </w:tc>
        <w:tc>
          <w:tcPr>
            <w:tcW w:w="220" w:type="dxa"/>
            <w:vAlign w:val="bottom"/>
            <w:shd w:val="clear" w:color="auto" w:fill="FF0C07"/>
          </w:tcPr>
          <w:p>
            <w:pPr>
              <w:spacing w:after="0"/>
              <w:rPr>
                <w:sz w:val="14"/>
                <w:szCs w:val="14"/>
                <w:color w:val="auto"/>
              </w:rPr>
            </w:pPr>
          </w:p>
        </w:tc>
        <w:tc>
          <w:tcPr>
            <w:tcW w:w="1240" w:type="dxa"/>
            <w:vAlign w:val="bottom"/>
            <w:shd w:val="clear" w:color="auto" w:fill="FF0C07"/>
          </w:tcPr>
          <w:p>
            <w:pPr>
              <w:spacing w:after="0"/>
              <w:rPr>
                <w:sz w:val="14"/>
                <w:szCs w:val="14"/>
                <w:color w:val="auto"/>
              </w:rPr>
            </w:pPr>
          </w:p>
        </w:tc>
      </w:tr>
      <w:tr>
        <w:trPr>
          <w:trHeight w:val="162"/>
        </w:trPr>
        <w:tc>
          <w:tcPr>
            <w:tcW w:w="5460" w:type="dxa"/>
            <w:vAlign w:val="bottom"/>
            <w:shd w:val="clear" w:color="auto" w:fill="FF0C07"/>
          </w:tcPr>
          <w:p>
            <w:pPr>
              <w:spacing w:after="0"/>
              <w:rPr>
                <w:sz w:val="14"/>
                <w:szCs w:val="14"/>
                <w:color w:val="auto"/>
              </w:rPr>
            </w:pPr>
          </w:p>
        </w:tc>
        <w:tc>
          <w:tcPr>
            <w:tcW w:w="1900" w:type="dxa"/>
            <w:vAlign w:val="bottom"/>
            <w:shd w:val="clear" w:color="auto" w:fill="FF0C07"/>
          </w:tcPr>
          <w:p>
            <w:pPr>
              <w:jc w:val="right"/>
              <w:ind w:right="116"/>
              <w:spacing w:after="0"/>
              <w:rPr>
                <w:sz w:val="20"/>
                <w:szCs w:val="20"/>
                <w:color w:val="auto"/>
              </w:rPr>
            </w:pPr>
            <w:r>
              <w:rPr>
                <w:rFonts w:ascii="Arial" w:cs="Arial" w:eastAsia="Arial" w:hAnsi="Arial"/>
                <w:sz w:val="14"/>
                <w:szCs w:val="14"/>
                <w:b w:val="1"/>
                <w:bCs w:val="1"/>
                <w:color w:val="FFFFFF"/>
              </w:rPr>
              <w:t>Number of</w:t>
            </w:r>
          </w:p>
        </w:tc>
        <w:tc>
          <w:tcPr>
            <w:tcW w:w="1160" w:type="dxa"/>
            <w:vAlign w:val="bottom"/>
            <w:gridSpan w:val="2"/>
            <w:shd w:val="clear" w:color="auto" w:fill="FF0C07"/>
          </w:tcPr>
          <w:p>
            <w:pPr>
              <w:jc w:val="right"/>
              <w:ind w:right="156"/>
              <w:spacing w:after="0"/>
              <w:rPr>
                <w:sz w:val="20"/>
                <w:szCs w:val="20"/>
                <w:color w:val="auto"/>
              </w:rPr>
            </w:pPr>
            <w:r>
              <w:rPr>
                <w:rFonts w:ascii="Arial" w:cs="Arial" w:eastAsia="Arial" w:hAnsi="Arial"/>
                <w:sz w:val="14"/>
                <w:szCs w:val="14"/>
                <w:b w:val="1"/>
                <w:bCs w:val="1"/>
                <w:color w:val="FFFFFF"/>
              </w:rPr>
              <w:t>Per Share</w:t>
            </w:r>
          </w:p>
        </w:tc>
        <w:tc>
          <w:tcPr>
            <w:tcW w:w="1040" w:type="dxa"/>
            <w:vAlign w:val="bottom"/>
            <w:shd w:val="clear" w:color="auto" w:fill="FF0C07"/>
          </w:tcPr>
          <w:p>
            <w:pPr>
              <w:spacing w:after="0"/>
              <w:rPr>
                <w:sz w:val="14"/>
                <w:szCs w:val="14"/>
                <w:color w:val="auto"/>
              </w:rPr>
            </w:pPr>
          </w:p>
        </w:tc>
        <w:tc>
          <w:tcPr>
            <w:tcW w:w="220" w:type="dxa"/>
            <w:vAlign w:val="bottom"/>
            <w:shd w:val="clear" w:color="auto" w:fill="FF0C07"/>
          </w:tcPr>
          <w:p>
            <w:pPr>
              <w:spacing w:after="0"/>
              <w:rPr>
                <w:sz w:val="14"/>
                <w:szCs w:val="14"/>
                <w:color w:val="auto"/>
              </w:rPr>
            </w:pPr>
          </w:p>
        </w:tc>
        <w:tc>
          <w:tcPr>
            <w:tcW w:w="1240" w:type="dxa"/>
            <w:vAlign w:val="bottom"/>
            <w:shd w:val="clear" w:color="auto" w:fill="FF0C07"/>
          </w:tcPr>
          <w:p>
            <w:pPr>
              <w:spacing w:after="0"/>
              <w:rPr>
                <w:sz w:val="14"/>
                <w:szCs w:val="14"/>
                <w:color w:val="auto"/>
              </w:rPr>
            </w:pPr>
          </w:p>
        </w:tc>
      </w:tr>
      <w:tr>
        <w:trPr>
          <w:trHeight w:val="162"/>
        </w:trPr>
        <w:tc>
          <w:tcPr>
            <w:tcW w:w="5460" w:type="dxa"/>
            <w:vAlign w:val="bottom"/>
            <w:shd w:val="clear" w:color="auto" w:fill="FF0C07"/>
          </w:tcPr>
          <w:p>
            <w:pPr>
              <w:spacing w:after="0"/>
              <w:rPr>
                <w:sz w:val="14"/>
                <w:szCs w:val="14"/>
                <w:color w:val="auto"/>
              </w:rPr>
            </w:pPr>
          </w:p>
        </w:tc>
        <w:tc>
          <w:tcPr>
            <w:tcW w:w="1900" w:type="dxa"/>
            <w:vAlign w:val="bottom"/>
            <w:shd w:val="clear" w:color="auto" w:fill="FF0C07"/>
          </w:tcPr>
          <w:p>
            <w:pPr>
              <w:jc w:val="right"/>
              <w:ind w:right="116"/>
              <w:spacing w:after="0"/>
              <w:rPr>
                <w:sz w:val="20"/>
                <w:szCs w:val="20"/>
                <w:color w:val="auto"/>
              </w:rPr>
            </w:pPr>
            <w:r>
              <w:rPr>
                <w:rFonts w:ascii="Arial" w:cs="Arial" w:eastAsia="Arial" w:hAnsi="Arial"/>
                <w:sz w:val="14"/>
                <w:szCs w:val="14"/>
                <w:b w:val="1"/>
                <w:bCs w:val="1"/>
                <w:color w:val="FFFFFF"/>
              </w:rPr>
              <w:t>Shares</w:t>
            </w:r>
          </w:p>
        </w:tc>
        <w:tc>
          <w:tcPr>
            <w:tcW w:w="300" w:type="dxa"/>
            <w:vAlign w:val="bottom"/>
            <w:shd w:val="clear" w:color="auto" w:fill="FF0C07"/>
          </w:tcPr>
          <w:p>
            <w:pPr>
              <w:spacing w:after="0"/>
              <w:rPr>
                <w:sz w:val="14"/>
                <w:szCs w:val="14"/>
                <w:color w:val="auto"/>
              </w:rPr>
            </w:pPr>
          </w:p>
        </w:tc>
        <w:tc>
          <w:tcPr>
            <w:tcW w:w="860" w:type="dxa"/>
            <w:vAlign w:val="bottom"/>
            <w:shd w:val="clear" w:color="auto" w:fill="FF0C07"/>
          </w:tcPr>
          <w:p>
            <w:pPr>
              <w:jc w:val="right"/>
              <w:ind w:right="156"/>
              <w:spacing w:after="0"/>
              <w:rPr>
                <w:sz w:val="20"/>
                <w:szCs w:val="20"/>
                <w:color w:val="auto"/>
              </w:rPr>
            </w:pPr>
            <w:r>
              <w:rPr>
                <w:rFonts w:ascii="Arial" w:cs="Arial" w:eastAsia="Arial" w:hAnsi="Arial"/>
                <w:sz w:val="14"/>
                <w:szCs w:val="14"/>
                <w:b w:val="1"/>
                <w:bCs w:val="1"/>
                <w:color w:val="FFFFFF"/>
              </w:rPr>
              <w:t>Exercise</w:t>
            </w:r>
          </w:p>
        </w:tc>
        <w:tc>
          <w:tcPr>
            <w:tcW w:w="1040" w:type="dxa"/>
            <w:vAlign w:val="bottom"/>
            <w:shd w:val="clear" w:color="auto" w:fill="FF0C07"/>
          </w:tcPr>
          <w:p>
            <w:pPr>
              <w:jc w:val="right"/>
              <w:spacing w:after="0"/>
              <w:rPr>
                <w:sz w:val="20"/>
                <w:szCs w:val="20"/>
                <w:color w:val="auto"/>
              </w:rPr>
            </w:pPr>
            <w:r>
              <w:rPr>
                <w:rFonts w:ascii="Arial" w:cs="Arial" w:eastAsia="Arial" w:hAnsi="Arial"/>
                <w:sz w:val="14"/>
                <w:szCs w:val="14"/>
                <w:b w:val="1"/>
                <w:bCs w:val="1"/>
                <w:color w:val="FFFFFF"/>
              </w:rPr>
              <w:t>Number of</w:t>
            </w:r>
          </w:p>
        </w:tc>
        <w:tc>
          <w:tcPr>
            <w:tcW w:w="220" w:type="dxa"/>
            <w:vAlign w:val="bottom"/>
            <w:shd w:val="clear" w:color="auto" w:fill="FF0C07"/>
          </w:tcPr>
          <w:p>
            <w:pPr>
              <w:spacing w:after="0"/>
              <w:rPr>
                <w:sz w:val="14"/>
                <w:szCs w:val="14"/>
                <w:color w:val="auto"/>
              </w:rPr>
            </w:pPr>
          </w:p>
        </w:tc>
        <w:tc>
          <w:tcPr>
            <w:tcW w:w="1240" w:type="dxa"/>
            <w:vAlign w:val="bottom"/>
            <w:shd w:val="clear" w:color="auto" w:fill="FF0C07"/>
          </w:tcPr>
          <w:p>
            <w:pPr>
              <w:jc w:val="right"/>
              <w:ind w:right="136"/>
              <w:spacing w:after="0"/>
              <w:rPr>
                <w:sz w:val="20"/>
                <w:szCs w:val="20"/>
                <w:color w:val="auto"/>
              </w:rPr>
            </w:pPr>
            <w:r>
              <w:rPr>
                <w:rFonts w:ascii="Arial" w:cs="Arial" w:eastAsia="Arial" w:hAnsi="Arial"/>
                <w:sz w:val="14"/>
                <w:szCs w:val="14"/>
                <w:b w:val="1"/>
                <w:bCs w:val="1"/>
                <w:color w:val="FFFFFF"/>
              </w:rPr>
              <w:t>Dollar</w:t>
            </w:r>
          </w:p>
        </w:tc>
      </w:tr>
      <w:tr>
        <w:trPr>
          <w:trHeight w:val="157"/>
        </w:trPr>
        <w:tc>
          <w:tcPr>
            <w:tcW w:w="5460" w:type="dxa"/>
            <w:vAlign w:val="bottom"/>
            <w:shd w:val="clear" w:color="auto" w:fill="FF0C07"/>
          </w:tcPr>
          <w:p>
            <w:pPr>
              <w:spacing w:after="0"/>
              <w:rPr>
                <w:sz w:val="13"/>
                <w:szCs w:val="13"/>
                <w:color w:val="auto"/>
              </w:rPr>
            </w:pPr>
          </w:p>
        </w:tc>
        <w:tc>
          <w:tcPr>
            <w:tcW w:w="1900" w:type="dxa"/>
            <w:vAlign w:val="bottom"/>
            <w:shd w:val="clear" w:color="auto" w:fill="FF0C07"/>
          </w:tcPr>
          <w:p>
            <w:pPr>
              <w:jc w:val="right"/>
              <w:ind w:right="116"/>
              <w:spacing w:after="0" w:line="157" w:lineRule="exact"/>
              <w:rPr>
                <w:sz w:val="20"/>
                <w:szCs w:val="20"/>
                <w:color w:val="auto"/>
              </w:rPr>
            </w:pPr>
            <w:r>
              <w:rPr>
                <w:rFonts w:ascii="Arial" w:cs="Arial" w:eastAsia="Arial" w:hAnsi="Arial"/>
                <w:sz w:val="14"/>
                <w:szCs w:val="14"/>
                <w:b w:val="1"/>
                <w:bCs w:val="1"/>
                <w:color w:val="FFFFFF"/>
              </w:rPr>
              <w:t>Subject to</w:t>
            </w:r>
          </w:p>
        </w:tc>
        <w:tc>
          <w:tcPr>
            <w:tcW w:w="300" w:type="dxa"/>
            <w:vAlign w:val="bottom"/>
            <w:shd w:val="clear" w:color="auto" w:fill="FF0C07"/>
          </w:tcPr>
          <w:p>
            <w:pPr>
              <w:spacing w:after="0"/>
              <w:rPr>
                <w:sz w:val="13"/>
                <w:szCs w:val="13"/>
                <w:color w:val="auto"/>
              </w:rPr>
            </w:pPr>
          </w:p>
        </w:tc>
        <w:tc>
          <w:tcPr>
            <w:tcW w:w="860" w:type="dxa"/>
            <w:vAlign w:val="bottom"/>
            <w:shd w:val="clear" w:color="auto" w:fill="FF0C07"/>
          </w:tcPr>
          <w:p>
            <w:pPr>
              <w:jc w:val="right"/>
              <w:ind w:right="156"/>
              <w:spacing w:after="0" w:line="157" w:lineRule="exact"/>
              <w:rPr>
                <w:sz w:val="20"/>
                <w:szCs w:val="20"/>
                <w:color w:val="auto"/>
              </w:rPr>
            </w:pPr>
            <w:r>
              <w:rPr>
                <w:rFonts w:ascii="Arial" w:cs="Arial" w:eastAsia="Arial" w:hAnsi="Arial"/>
                <w:sz w:val="14"/>
                <w:szCs w:val="14"/>
                <w:b w:val="1"/>
                <w:bCs w:val="1"/>
                <w:color w:val="FFFFFF"/>
              </w:rPr>
              <w:t>Price of</w:t>
            </w:r>
          </w:p>
        </w:tc>
        <w:tc>
          <w:tcPr>
            <w:tcW w:w="1040" w:type="dxa"/>
            <w:vAlign w:val="bottom"/>
            <w:shd w:val="clear" w:color="auto" w:fill="FF0C07"/>
          </w:tcPr>
          <w:p>
            <w:pPr>
              <w:jc w:val="right"/>
              <w:spacing w:after="0" w:line="157" w:lineRule="exact"/>
              <w:rPr>
                <w:sz w:val="20"/>
                <w:szCs w:val="20"/>
                <w:color w:val="auto"/>
              </w:rPr>
            </w:pPr>
            <w:r>
              <w:rPr>
                <w:rFonts w:ascii="Arial" w:cs="Arial" w:eastAsia="Arial" w:hAnsi="Arial"/>
                <w:sz w:val="14"/>
                <w:szCs w:val="14"/>
                <w:b w:val="1"/>
                <w:bCs w:val="1"/>
                <w:color w:val="FFFFFF"/>
              </w:rPr>
              <w:t>RSUs and</w:t>
            </w:r>
          </w:p>
        </w:tc>
        <w:tc>
          <w:tcPr>
            <w:tcW w:w="220" w:type="dxa"/>
            <w:vAlign w:val="bottom"/>
            <w:shd w:val="clear" w:color="auto" w:fill="FF0C07"/>
          </w:tcPr>
          <w:p>
            <w:pPr>
              <w:spacing w:after="0"/>
              <w:rPr>
                <w:sz w:val="13"/>
                <w:szCs w:val="13"/>
                <w:color w:val="auto"/>
              </w:rPr>
            </w:pPr>
          </w:p>
        </w:tc>
        <w:tc>
          <w:tcPr>
            <w:tcW w:w="1240" w:type="dxa"/>
            <w:vAlign w:val="bottom"/>
            <w:shd w:val="clear" w:color="auto" w:fill="FF0C07"/>
          </w:tcPr>
          <w:p>
            <w:pPr>
              <w:jc w:val="right"/>
              <w:ind w:right="136"/>
              <w:spacing w:after="0" w:line="157" w:lineRule="exact"/>
              <w:rPr>
                <w:sz w:val="20"/>
                <w:szCs w:val="20"/>
                <w:color w:val="auto"/>
              </w:rPr>
            </w:pPr>
            <w:r>
              <w:rPr>
                <w:rFonts w:ascii="Arial" w:cs="Arial" w:eastAsia="Arial" w:hAnsi="Arial"/>
                <w:sz w:val="14"/>
                <w:szCs w:val="14"/>
                <w:b w:val="1"/>
                <w:bCs w:val="1"/>
                <w:color w:val="FFFFFF"/>
              </w:rPr>
              <w:t>Value of RSUs</w:t>
            </w:r>
          </w:p>
        </w:tc>
      </w:tr>
      <w:tr>
        <w:trPr>
          <w:trHeight w:val="177"/>
        </w:trPr>
        <w:tc>
          <w:tcPr>
            <w:tcW w:w="5460" w:type="dxa"/>
            <w:vAlign w:val="bottom"/>
            <w:shd w:val="clear" w:color="auto" w:fill="FF0C07"/>
          </w:tcPr>
          <w:p>
            <w:pPr>
              <w:spacing w:after="0"/>
              <w:rPr>
                <w:sz w:val="15"/>
                <w:szCs w:val="15"/>
                <w:color w:val="auto"/>
              </w:rPr>
            </w:pPr>
          </w:p>
        </w:tc>
        <w:tc>
          <w:tcPr>
            <w:tcW w:w="1900" w:type="dxa"/>
            <w:vAlign w:val="bottom"/>
            <w:shd w:val="clear" w:color="auto" w:fill="FF0C07"/>
          </w:tcPr>
          <w:p>
            <w:pPr>
              <w:jc w:val="right"/>
              <w:ind w:right="116"/>
              <w:spacing w:after="0"/>
              <w:rPr>
                <w:sz w:val="20"/>
                <w:szCs w:val="20"/>
                <w:color w:val="auto"/>
              </w:rPr>
            </w:pPr>
            <w:r>
              <w:rPr>
                <w:rFonts w:ascii="Arial" w:cs="Arial" w:eastAsia="Arial" w:hAnsi="Arial"/>
                <w:sz w:val="14"/>
                <w:szCs w:val="14"/>
                <w:b w:val="1"/>
                <w:bCs w:val="1"/>
                <w:color w:val="FFFFFF"/>
              </w:rPr>
              <w:t>Options</w:t>
            </w:r>
          </w:p>
        </w:tc>
        <w:tc>
          <w:tcPr>
            <w:tcW w:w="300" w:type="dxa"/>
            <w:vAlign w:val="bottom"/>
            <w:shd w:val="clear" w:color="auto" w:fill="FF0C07"/>
          </w:tcPr>
          <w:p>
            <w:pPr>
              <w:spacing w:after="0"/>
              <w:rPr>
                <w:sz w:val="15"/>
                <w:szCs w:val="15"/>
                <w:color w:val="auto"/>
              </w:rPr>
            </w:pPr>
          </w:p>
        </w:tc>
        <w:tc>
          <w:tcPr>
            <w:tcW w:w="860" w:type="dxa"/>
            <w:vAlign w:val="bottom"/>
            <w:shd w:val="clear" w:color="auto" w:fill="FF0C07"/>
          </w:tcPr>
          <w:p>
            <w:pPr>
              <w:jc w:val="right"/>
              <w:ind w:right="156"/>
              <w:spacing w:after="0"/>
              <w:rPr>
                <w:sz w:val="20"/>
                <w:szCs w:val="20"/>
                <w:color w:val="auto"/>
              </w:rPr>
            </w:pPr>
            <w:r>
              <w:rPr>
                <w:rFonts w:ascii="Arial" w:cs="Arial" w:eastAsia="Arial" w:hAnsi="Arial"/>
                <w:sz w:val="14"/>
                <w:szCs w:val="14"/>
                <w:b w:val="1"/>
                <w:bCs w:val="1"/>
                <w:color w:val="FFFFFF"/>
              </w:rPr>
              <w:t>Options</w:t>
            </w:r>
          </w:p>
        </w:tc>
        <w:tc>
          <w:tcPr>
            <w:tcW w:w="1040" w:type="dxa"/>
            <w:vAlign w:val="bottom"/>
            <w:shd w:val="clear" w:color="auto" w:fill="FF0C07"/>
          </w:tcPr>
          <w:p>
            <w:pPr>
              <w:jc w:val="right"/>
              <w:spacing w:after="0" w:line="177" w:lineRule="exact"/>
              <w:rPr>
                <w:sz w:val="20"/>
                <w:szCs w:val="20"/>
                <w:color w:val="auto"/>
              </w:rPr>
            </w:pPr>
            <w:r>
              <w:rPr>
                <w:rFonts w:ascii="Arial" w:cs="Arial" w:eastAsia="Arial" w:hAnsi="Arial"/>
                <w:sz w:val="12"/>
                <w:szCs w:val="12"/>
                <w:b w:val="1"/>
                <w:bCs w:val="1"/>
                <w:color w:val="FFFFFF"/>
              </w:rPr>
              <w:t xml:space="preserve">PRSUs </w:t>
            </w:r>
            <w:r>
              <w:rPr>
                <w:rFonts w:ascii="Arial" w:cs="Arial" w:eastAsia="Arial" w:hAnsi="Arial"/>
                <w:sz w:val="20"/>
                <w:szCs w:val="20"/>
                <w:b w:val="1"/>
                <w:bCs w:val="1"/>
                <w:color w:val="FFFFFF"/>
                <w:vertAlign w:val="superscript"/>
              </w:rPr>
              <w:t>(1)</w:t>
            </w:r>
          </w:p>
        </w:tc>
        <w:tc>
          <w:tcPr>
            <w:tcW w:w="220" w:type="dxa"/>
            <w:vAlign w:val="bottom"/>
            <w:shd w:val="clear" w:color="auto" w:fill="FF0C07"/>
          </w:tcPr>
          <w:p>
            <w:pPr>
              <w:spacing w:after="0"/>
              <w:rPr>
                <w:sz w:val="15"/>
                <w:szCs w:val="15"/>
                <w:color w:val="auto"/>
              </w:rPr>
            </w:pPr>
          </w:p>
        </w:tc>
        <w:tc>
          <w:tcPr>
            <w:tcW w:w="1240" w:type="dxa"/>
            <w:vAlign w:val="bottom"/>
            <w:shd w:val="clear" w:color="auto" w:fill="FF0C07"/>
          </w:tcPr>
          <w:p>
            <w:pPr>
              <w:jc w:val="right"/>
              <w:ind w:right="136"/>
              <w:spacing w:after="0" w:line="177" w:lineRule="exact"/>
              <w:rPr>
                <w:sz w:val="20"/>
                <w:szCs w:val="20"/>
                <w:color w:val="auto"/>
              </w:rPr>
            </w:pPr>
            <w:r>
              <w:rPr>
                <w:rFonts w:ascii="Arial" w:cs="Arial" w:eastAsia="Arial" w:hAnsi="Arial"/>
                <w:sz w:val="12"/>
                <w:szCs w:val="12"/>
                <w:b w:val="1"/>
                <w:bCs w:val="1"/>
                <w:color w:val="FFFFFF"/>
              </w:rPr>
              <w:t xml:space="preserve">and PRSUs </w:t>
            </w:r>
            <w:r>
              <w:rPr>
                <w:rFonts w:ascii="Arial" w:cs="Arial" w:eastAsia="Arial" w:hAnsi="Arial"/>
                <w:sz w:val="20"/>
                <w:szCs w:val="20"/>
                <w:b w:val="1"/>
                <w:bCs w:val="1"/>
                <w:color w:val="FFFFFF"/>
                <w:vertAlign w:val="superscript"/>
              </w:rPr>
              <w:t>(2)</w:t>
            </w:r>
          </w:p>
        </w:tc>
      </w:tr>
      <w:tr>
        <w:trPr>
          <w:trHeight w:val="186"/>
        </w:trPr>
        <w:tc>
          <w:tcPr>
            <w:tcW w:w="5460" w:type="dxa"/>
            <w:vAlign w:val="bottom"/>
          </w:tcPr>
          <w:p>
            <w:pPr>
              <w:spacing w:after="0" w:line="186" w:lineRule="exact"/>
              <w:rPr>
                <w:sz w:val="20"/>
                <w:szCs w:val="20"/>
                <w:color w:val="auto"/>
              </w:rPr>
            </w:pPr>
            <w:r>
              <w:rPr>
                <w:rFonts w:ascii="Arial" w:cs="Arial" w:eastAsia="Arial" w:hAnsi="Arial"/>
                <w:sz w:val="18"/>
                <w:szCs w:val="18"/>
                <w:color w:val="auto"/>
              </w:rPr>
              <w:t>Sumedh S. Thakar</w:t>
            </w:r>
          </w:p>
        </w:tc>
        <w:tc>
          <w:tcPr>
            <w:tcW w:w="1900" w:type="dxa"/>
            <w:vAlign w:val="bottom"/>
          </w:tcPr>
          <w:p>
            <w:pPr>
              <w:ind w:left="1420"/>
              <w:spacing w:after="0" w:line="18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860" w:type="dxa"/>
            <w:vAlign w:val="bottom"/>
          </w:tcPr>
          <w:p>
            <w:pPr>
              <w:ind w:left="340"/>
              <w:spacing w:after="0" w:line="18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6" w:lineRule="exact"/>
              <w:rPr>
                <w:sz w:val="20"/>
                <w:szCs w:val="20"/>
                <w:color w:val="auto"/>
              </w:rPr>
            </w:pPr>
            <w:r>
              <w:rPr>
                <w:rFonts w:ascii="Arial" w:cs="Arial" w:eastAsia="Arial" w:hAnsi="Arial"/>
                <w:sz w:val="18"/>
                <w:szCs w:val="18"/>
                <w:color w:val="auto"/>
              </w:rPr>
              <w:t>71,726</w:t>
            </w:r>
          </w:p>
        </w:tc>
        <w:tc>
          <w:tcPr>
            <w:tcW w:w="22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186" w:lineRule="exact"/>
              <w:rPr>
                <w:sz w:val="20"/>
                <w:szCs w:val="20"/>
                <w:color w:val="auto"/>
              </w:rPr>
            </w:pPr>
            <w:r>
              <w:rPr>
                <w:rFonts w:ascii="Arial" w:cs="Arial" w:eastAsia="Arial" w:hAnsi="Arial"/>
                <w:sz w:val="18"/>
                <w:szCs w:val="18"/>
                <w:color w:val="auto"/>
              </w:rPr>
              <w:t>8,364,620</w:t>
            </w:r>
          </w:p>
        </w:tc>
      </w:tr>
      <w:tr>
        <w:trPr>
          <w:trHeight w:val="214"/>
        </w:trPr>
        <w:tc>
          <w:tcPr>
            <w:tcW w:w="5460" w:type="dxa"/>
            <w:vAlign w:val="bottom"/>
          </w:tcPr>
          <w:p>
            <w:pPr>
              <w:ind w:left="180"/>
              <w:spacing w:after="0"/>
              <w:rPr>
                <w:sz w:val="20"/>
                <w:szCs w:val="20"/>
                <w:color w:val="auto"/>
              </w:rPr>
            </w:pPr>
            <w:r>
              <w:rPr>
                <w:rFonts w:ascii="Arial" w:cs="Arial" w:eastAsia="Arial" w:hAnsi="Arial"/>
                <w:sz w:val="18"/>
                <w:szCs w:val="18"/>
                <w:i w:val="1"/>
                <w:iCs w:val="1"/>
                <w:color w:val="auto"/>
              </w:rPr>
              <w:t>Director, President and Chief Executive Officer</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5"/>
        </w:trPr>
        <w:tc>
          <w:tcPr>
            <w:tcW w:w="5460" w:type="dxa"/>
            <w:vAlign w:val="bottom"/>
          </w:tcPr>
          <w:p>
            <w:pPr>
              <w:spacing w:after="0" w:line="205" w:lineRule="exact"/>
              <w:rPr>
                <w:sz w:val="20"/>
                <w:szCs w:val="20"/>
                <w:color w:val="auto"/>
              </w:rPr>
            </w:pPr>
            <w:r>
              <w:rPr>
                <w:rFonts w:ascii="Arial" w:cs="Arial" w:eastAsia="Arial" w:hAnsi="Arial"/>
                <w:sz w:val="18"/>
                <w:szCs w:val="18"/>
                <w:color w:val="auto"/>
              </w:rPr>
              <w:t>Philippe F. Courtot</w:t>
            </w:r>
          </w:p>
        </w:tc>
        <w:tc>
          <w:tcPr>
            <w:tcW w:w="1900" w:type="dxa"/>
            <w:vAlign w:val="bottom"/>
          </w:tcPr>
          <w:p>
            <w:pPr>
              <w:ind w:left="1420"/>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6"/>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6"/>
              <w:spacing w:after="0" w:line="205" w:lineRule="exact"/>
              <w:rPr>
                <w:sz w:val="20"/>
                <w:szCs w:val="20"/>
                <w:color w:val="auto"/>
              </w:rPr>
            </w:pPr>
            <w:r>
              <w:rPr>
                <w:rFonts w:ascii="Arial" w:cs="Arial" w:eastAsia="Arial" w:hAnsi="Arial"/>
                <w:sz w:val="18"/>
                <w:szCs w:val="18"/>
                <w:color w:val="auto"/>
              </w:rPr>
              <w:t>—</w:t>
            </w:r>
          </w:p>
        </w:tc>
      </w:tr>
      <w:tr>
        <w:trPr>
          <w:trHeight w:val="214"/>
        </w:trPr>
        <w:tc>
          <w:tcPr>
            <w:tcW w:w="5460" w:type="dxa"/>
            <w:vAlign w:val="bottom"/>
          </w:tcPr>
          <w:p>
            <w:pPr>
              <w:ind w:left="180"/>
              <w:spacing w:after="0"/>
              <w:rPr>
                <w:sz w:val="20"/>
                <w:szCs w:val="20"/>
                <w:color w:val="auto"/>
              </w:rPr>
            </w:pPr>
            <w:r>
              <w:rPr>
                <w:rFonts w:ascii="Arial" w:cs="Arial" w:eastAsia="Arial" w:hAnsi="Arial"/>
                <w:sz w:val="18"/>
                <w:szCs w:val="18"/>
                <w:i w:val="1"/>
                <w:iCs w:val="1"/>
                <w:color w:val="auto"/>
              </w:rPr>
              <w:t>Former Chief Executive Officer</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5"/>
        </w:trPr>
        <w:tc>
          <w:tcPr>
            <w:tcW w:w="5460" w:type="dxa"/>
            <w:vAlign w:val="bottom"/>
          </w:tcPr>
          <w:p>
            <w:pPr>
              <w:spacing w:after="0" w:line="205" w:lineRule="exact"/>
              <w:rPr>
                <w:sz w:val="20"/>
                <w:szCs w:val="20"/>
                <w:color w:val="auto"/>
              </w:rPr>
            </w:pPr>
            <w:r>
              <w:rPr>
                <w:rFonts w:ascii="Arial" w:cs="Arial" w:eastAsia="Arial" w:hAnsi="Arial"/>
                <w:sz w:val="18"/>
                <w:szCs w:val="18"/>
                <w:color w:val="auto"/>
              </w:rPr>
              <w:t>Joo Mi Kim</w:t>
            </w:r>
          </w:p>
        </w:tc>
        <w:tc>
          <w:tcPr>
            <w:tcW w:w="1900" w:type="dxa"/>
            <w:vAlign w:val="bottom"/>
          </w:tcPr>
          <w:p>
            <w:pPr>
              <w:ind w:left="1420"/>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37,829</w:t>
            </w:r>
          </w:p>
        </w:tc>
        <w:tc>
          <w:tcPr>
            <w:tcW w:w="2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5" w:lineRule="exact"/>
              <w:rPr>
                <w:sz w:val="20"/>
                <w:szCs w:val="20"/>
                <w:color w:val="auto"/>
              </w:rPr>
            </w:pPr>
            <w:r>
              <w:rPr>
                <w:rFonts w:ascii="Arial" w:cs="Arial" w:eastAsia="Arial" w:hAnsi="Arial"/>
                <w:sz w:val="18"/>
                <w:szCs w:val="18"/>
                <w:color w:val="auto"/>
              </w:rPr>
              <w:t>4,541,750</w:t>
            </w:r>
          </w:p>
        </w:tc>
      </w:tr>
      <w:tr>
        <w:trPr>
          <w:trHeight w:val="214"/>
        </w:trPr>
        <w:tc>
          <w:tcPr>
            <w:tcW w:w="546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5"/>
        </w:trPr>
        <w:tc>
          <w:tcPr>
            <w:tcW w:w="5460" w:type="dxa"/>
            <w:vAlign w:val="bottom"/>
          </w:tcPr>
          <w:p>
            <w:pPr>
              <w:spacing w:after="0" w:line="205" w:lineRule="exact"/>
              <w:rPr>
                <w:sz w:val="20"/>
                <w:szCs w:val="20"/>
                <w:color w:val="auto"/>
              </w:rPr>
            </w:pPr>
            <w:r>
              <w:rPr>
                <w:rFonts w:ascii="Arial" w:cs="Arial" w:eastAsia="Arial" w:hAnsi="Arial"/>
                <w:sz w:val="18"/>
                <w:szCs w:val="18"/>
                <w:color w:val="auto"/>
              </w:rPr>
              <w:t>Allan Peters</w:t>
            </w:r>
          </w:p>
        </w:tc>
        <w:tc>
          <w:tcPr>
            <w:tcW w:w="1900" w:type="dxa"/>
            <w:vAlign w:val="bottom"/>
          </w:tcPr>
          <w:p>
            <w:pPr>
              <w:ind w:left="1420"/>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32,853</w:t>
            </w:r>
          </w:p>
        </w:tc>
        <w:tc>
          <w:tcPr>
            <w:tcW w:w="2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5" w:lineRule="exact"/>
              <w:rPr>
                <w:sz w:val="20"/>
                <w:szCs w:val="20"/>
                <w:color w:val="auto"/>
              </w:rPr>
            </w:pPr>
            <w:r>
              <w:rPr>
                <w:rFonts w:ascii="Arial" w:cs="Arial" w:eastAsia="Arial" w:hAnsi="Arial"/>
                <w:sz w:val="18"/>
                <w:szCs w:val="18"/>
                <w:color w:val="auto"/>
              </w:rPr>
              <w:t>3,483,318</w:t>
            </w:r>
          </w:p>
        </w:tc>
      </w:tr>
      <w:tr>
        <w:trPr>
          <w:trHeight w:val="214"/>
        </w:trPr>
        <w:tc>
          <w:tcPr>
            <w:tcW w:w="5460" w:type="dxa"/>
            <w:vAlign w:val="bottom"/>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5"/>
        </w:trPr>
        <w:tc>
          <w:tcPr>
            <w:tcW w:w="5460" w:type="dxa"/>
            <w:vAlign w:val="bottom"/>
          </w:tcPr>
          <w:p>
            <w:pPr>
              <w:spacing w:after="0" w:line="205" w:lineRule="exact"/>
              <w:rPr>
                <w:sz w:val="20"/>
                <w:szCs w:val="20"/>
                <w:color w:val="auto"/>
              </w:rPr>
            </w:pPr>
            <w:r>
              <w:rPr>
                <w:rFonts w:ascii="Arial" w:cs="Arial" w:eastAsia="Arial" w:hAnsi="Arial"/>
                <w:sz w:val="18"/>
                <w:szCs w:val="18"/>
                <w:color w:val="auto"/>
              </w:rPr>
              <w:t>Bruce K. Posey</w:t>
            </w:r>
          </w:p>
        </w:tc>
        <w:tc>
          <w:tcPr>
            <w:tcW w:w="1900" w:type="dxa"/>
            <w:vAlign w:val="bottom"/>
          </w:tcPr>
          <w:p>
            <w:pPr>
              <w:ind w:left="1420"/>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23,748</w:t>
            </w:r>
          </w:p>
        </w:tc>
        <w:tc>
          <w:tcPr>
            <w:tcW w:w="2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5" w:lineRule="exact"/>
              <w:rPr>
                <w:sz w:val="20"/>
                <w:szCs w:val="20"/>
                <w:color w:val="auto"/>
              </w:rPr>
            </w:pPr>
            <w:r>
              <w:rPr>
                <w:rFonts w:ascii="Arial" w:cs="Arial" w:eastAsia="Arial" w:hAnsi="Arial"/>
                <w:sz w:val="18"/>
                <w:szCs w:val="18"/>
                <w:color w:val="auto"/>
              </w:rPr>
              <w:t>2,851,185</w:t>
            </w:r>
          </w:p>
        </w:tc>
      </w:tr>
      <w:tr>
        <w:trPr>
          <w:trHeight w:val="214"/>
        </w:trPr>
        <w:tc>
          <w:tcPr>
            <w:tcW w:w="5460" w:type="dxa"/>
            <w:vAlign w:val="bottom"/>
          </w:tcPr>
          <w:p>
            <w:pPr>
              <w:ind w:left="180"/>
              <w:spacing w:after="0"/>
              <w:rPr>
                <w:sz w:val="20"/>
                <w:szCs w:val="20"/>
                <w:color w:val="auto"/>
              </w:rPr>
            </w:pPr>
            <w:r>
              <w:rPr>
                <w:rFonts w:ascii="Arial" w:cs="Arial" w:eastAsia="Arial" w:hAnsi="Arial"/>
                <w:sz w:val="18"/>
                <w:szCs w:val="18"/>
                <w:i w:val="1"/>
                <w:iCs w:val="1"/>
                <w:color w:val="auto"/>
              </w:rPr>
              <w:t>Chief Legal Officer</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All executive officers, as a group</w:t>
            </w:r>
          </w:p>
        </w:tc>
        <w:tc>
          <w:tcPr>
            <w:tcW w:w="190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166,156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19,240,873</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All directors who are not executive officers, as a group</w:t>
            </w:r>
          </w:p>
        </w:tc>
        <w:tc>
          <w:tcPr>
            <w:tcW w:w="190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15,317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1,652,349</w:t>
            </w:r>
          </w:p>
        </w:tc>
      </w:tr>
      <w:tr>
        <w:trPr>
          <w:trHeight w:val="239"/>
        </w:trPr>
        <w:tc>
          <w:tcPr>
            <w:tcW w:w="5460" w:type="dxa"/>
            <w:vAlign w:val="bottom"/>
          </w:tcPr>
          <w:p>
            <w:pPr>
              <w:spacing w:after="0"/>
              <w:rPr>
                <w:sz w:val="20"/>
                <w:szCs w:val="20"/>
                <w:color w:val="auto"/>
              </w:rPr>
            </w:pPr>
            <w:r>
              <w:rPr>
                <w:rFonts w:ascii="Arial" w:cs="Arial" w:eastAsia="Arial" w:hAnsi="Arial"/>
                <w:sz w:val="18"/>
                <w:szCs w:val="18"/>
                <w:color w:val="auto"/>
              </w:rPr>
              <w:t>All employees who are not executive officers, as a group</w:t>
            </w:r>
          </w:p>
        </w:tc>
        <w:tc>
          <w:tcPr>
            <w:tcW w:w="1900" w:type="dxa"/>
            <w:vAlign w:val="bottom"/>
          </w:tcPr>
          <w:p>
            <w:pPr>
              <w:jc w:val="right"/>
              <w:ind w:right="116"/>
              <w:spacing w:after="0"/>
              <w:rPr>
                <w:sz w:val="20"/>
                <w:szCs w:val="20"/>
                <w:color w:val="auto"/>
              </w:rPr>
            </w:pPr>
            <w:r>
              <w:rPr>
                <w:rFonts w:ascii="Arial" w:cs="Arial" w:eastAsia="Arial" w:hAnsi="Arial"/>
                <w:sz w:val="18"/>
                <w:szCs w:val="18"/>
                <w:color w:val="auto"/>
              </w:rPr>
              <w:t>494,925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6"/>
              <w:spacing w:after="0"/>
              <w:rPr>
                <w:sz w:val="20"/>
                <w:szCs w:val="20"/>
                <w:color w:val="auto"/>
              </w:rPr>
            </w:pPr>
            <w:r>
              <w:rPr>
                <w:rFonts w:ascii="Arial" w:cs="Arial" w:eastAsia="Arial" w:hAnsi="Arial"/>
                <w:sz w:val="18"/>
                <w:szCs w:val="18"/>
                <w:color w:val="auto"/>
              </w:rPr>
              <w:t>112.43</w:t>
            </w:r>
          </w:p>
        </w:tc>
        <w:tc>
          <w:tcPr>
            <w:tcW w:w="1040" w:type="dxa"/>
            <w:vAlign w:val="bottom"/>
          </w:tcPr>
          <w:p>
            <w:pPr>
              <w:jc w:val="right"/>
              <w:spacing w:after="0"/>
              <w:rPr>
                <w:sz w:val="20"/>
                <w:szCs w:val="20"/>
                <w:color w:val="auto"/>
              </w:rPr>
            </w:pPr>
            <w:r>
              <w:rPr>
                <w:rFonts w:ascii="Arial" w:cs="Arial" w:eastAsia="Arial" w:hAnsi="Arial"/>
                <w:sz w:val="18"/>
                <w:szCs w:val="18"/>
                <w:color w:val="auto"/>
              </w:rPr>
              <w:t>390,662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44,741,613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80" w:hanging="424"/>
        <w:spacing w:after="0" w:line="251" w:lineRule="auto"/>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Reflects the number of RSUs and PRSUs at the target levels of performance, and in the case of the PRSU awards granted to our named executive officers in October 2021, including only the first tranche of such PRSU awards (since the performance metrics for the second and third tranches of the PRSU awards have not been established and as a result, there is no reportable grant date fair value under FASB ASC Topic 718 for such tranches). Including the second and third tranches of these PRSU awards, these numbers would be (i) 97,918 for Mr. Thakar, (ii) 47,286 for</w:t>
      </w:r>
    </w:p>
    <w:p>
      <w:pPr>
        <w:spacing w:after="0" w:line="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6"/>
          <w:szCs w:val="16"/>
          <w:color w:val="auto"/>
        </w:rPr>
        <w:t>Ms. Kim, (iii) 40,129 for Mr. Peters, (iv) 29,685 for Mr. Posey, and (v) 215,018 for all executive officers, as a group.</w:t>
      </w:r>
    </w:p>
    <w:p>
      <w:pPr>
        <w:spacing w:after="0" w:line="13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69" w:right="439" w:bottom="1440" w:gutter="0" w:footer="0" w:header="0"/>
        </w:sectPr>
      </w:pPr>
    </w:p>
    <w:bookmarkStart w:id="35" w:name="page36"/>
    <w:bookmarkEnd w:id="35"/>
    <w:p>
      <w:pPr>
        <w:ind w:left="424" w:right="160" w:hanging="424"/>
        <w:spacing w:after="0" w:line="254"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aggregate grant date fair value of the equity awards computed in accordance with FASB ASC Topic 718. Each named executive officer’s PRSUs granted in October 2021 are divided into three tranches with one-year performance periods covering calendar year 2022, 2023, and 2024, respectively. One-third of the target number of PRSUs is allocated to each tranche. Each tranche will become eligible to vest based on the annual performance metrices to be determined each performance period. The aggregate grant date fair value of such PRSU awards does not include the value associated with the second and third tranches as such awards are not considered granted under FASB ASC Topic 718 until the performance metrices are determined.</w:t>
      </w:r>
    </w:p>
    <w:p>
      <w:pPr>
        <w:spacing w:after="0" w:line="177" w:lineRule="exact"/>
        <w:rPr>
          <w:sz w:val="20"/>
          <w:szCs w:val="20"/>
          <w:color w:val="auto"/>
        </w:rPr>
      </w:pPr>
    </w:p>
    <w:p>
      <w:pPr>
        <w:jc w:val="center"/>
        <w:ind w:left="480"/>
        <w:spacing w:after="0" w:line="281" w:lineRule="auto"/>
        <w:rPr>
          <w:sz w:val="20"/>
          <w:szCs w:val="20"/>
          <w:color w:val="auto"/>
        </w:rPr>
      </w:pPr>
      <w:r>
        <w:rPr>
          <w:rFonts w:ascii="Arial" w:cs="Arial" w:eastAsia="Arial" w:hAnsi="Arial"/>
          <w:sz w:val="18"/>
          <w:szCs w:val="18"/>
          <w:b w:val="1"/>
          <w:bCs w:val="1"/>
          <w:color w:val="auto"/>
        </w:rPr>
        <w:t>THE BOARD OF DIRECTORS RECOMMENDS A VOTE “FOR” APPROVAL OF THE QUALYS, INC. 2012 EQUITY INCENTIVE PLAN, AS AMENDED, RESTATED AND EXTENDED.</w:t>
      </w:r>
    </w:p>
    <w:p>
      <w:pPr>
        <w:spacing w:after="0" w:line="6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AND RISK COMMITTEE</w:t>
      </w:r>
    </w:p>
    <w:p>
      <w:pPr>
        <w:spacing w:after="0" w:line="212" w:lineRule="exact"/>
        <w:rPr>
          <w:sz w:val="20"/>
          <w:szCs w:val="20"/>
          <w:color w:val="auto"/>
        </w:rPr>
      </w:pPr>
    </w:p>
    <w:p>
      <w:pPr>
        <w:ind w:right="80" w:firstLine="440"/>
        <w:spacing w:after="0" w:line="242" w:lineRule="auto"/>
        <w:rPr>
          <w:sz w:val="20"/>
          <w:szCs w:val="20"/>
          <w:color w:val="auto"/>
        </w:rPr>
      </w:pPr>
      <w:r>
        <w:rPr>
          <w:rFonts w:ascii="Arial" w:cs="Arial" w:eastAsia="Arial" w:hAnsi="Arial"/>
          <w:sz w:val="18"/>
          <w:szCs w:val="18"/>
          <w:color w:val="auto"/>
        </w:rPr>
        <w:t>Our Audit and Risk Committee is a committee of our board of directors comprised solely of independent directors as required by the Nasdaq Listing Rules and rules of the SEC. Our Audit and Risk Committee operates under a written charter approved by our board of directors, which is available on our website at http://investor.qualys.com. The composition of the committee, the attributes of its members and the responsibilities of the committee, as reflected in its charter, are intended to be in accordance with applicable requirements for corporate audit committees. The committee reviews and assesses the adequacy of its charter and the committee’s performance on an annual basis.</w:t>
      </w:r>
    </w:p>
    <w:p>
      <w:pPr>
        <w:spacing w:after="0" w:line="179"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 Company’s financial statements. It is the responsibility of our Audit and Risk Committee to oversee these activities. It is not the responsibility of the committee to prepare or certify our financial statements or guarantee the audits or reports of Grant Thornton. These are the fundamental responsibilities of management and Grant Thornton. In the performance of its oversight function, our Audit and Risk Committee has:</w:t>
      </w:r>
    </w:p>
    <w:p>
      <w:pPr>
        <w:spacing w:after="0" w:line="84" w:lineRule="exact"/>
        <w:rPr>
          <w:sz w:val="20"/>
          <w:szCs w:val="20"/>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117" w:lineRule="exact"/>
        <w:rPr>
          <w:rFonts w:ascii="Arial" w:cs="Arial" w:eastAsia="Arial" w:hAnsi="Arial"/>
          <w:sz w:val="18"/>
          <w:szCs w:val="18"/>
          <w:color w:val="auto"/>
        </w:rPr>
      </w:pPr>
    </w:p>
    <w:p>
      <w:pPr>
        <w:ind w:left="960" w:right="260" w:hanging="424"/>
        <w:spacing w:after="0" w:line="271"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applicable requirements of the Public Company Accounting Oversight Board (“PCAOB”) and the SEC; and</w:t>
      </w:r>
    </w:p>
    <w:p>
      <w:pPr>
        <w:spacing w:after="0" w:line="59" w:lineRule="exact"/>
        <w:rPr>
          <w:rFonts w:ascii="Arial" w:cs="Arial" w:eastAsia="Arial" w:hAnsi="Arial"/>
          <w:sz w:val="18"/>
          <w:szCs w:val="18"/>
          <w:color w:val="auto"/>
        </w:rPr>
      </w:pPr>
    </w:p>
    <w:p>
      <w:pPr>
        <w:ind w:left="960" w:right="180" w:hanging="424"/>
        <w:spacing w:after="0" w:line="25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PCAOB regarding the independent accountant’s communications with our Audit and Risk Committee concerning independence, and has discussed with Grant Thornton its independence.</w:t>
      </w:r>
    </w:p>
    <w:p>
      <w:pPr>
        <w:spacing w:after="0" w:line="169" w:lineRule="exact"/>
        <w:rPr>
          <w:sz w:val="20"/>
          <w:szCs w:val="20"/>
          <w:color w:val="auto"/>
        </w:rPr>
      </w:pPr>
    </w:p>
    <w:p>
      <w:pPr>
        <w:ind w:right="360" w:firstLine="440"/>
        <w:spacing w:after="0" w:line="253" w:lineRule="auto"/>
        <w:rPr>
          <w:sz w:val="20"/>
          <w:szCs w:val="20"/>
          <w:color w:val="auto"/>
        </w:rPr>
      </w:pPr>
      <w:r>
        <w:rPr>
          <w:rFonts w:ascii="Arial" w:cs="Arial" w:eastAsia="Arial" w:hAnsi="Arial"/>
          <w:sz w:val="18"/>
          <w:szCs w:val="18"/>
          <w:color w:val="auto"/>
        </w:rPr>
        <w:t>Based on its review and discussions with management and Grant Thornton, our Audit and Risk Committee recommended to our board of directors that the audited financial statements be included in our Annual Report on Form 10-K for the fiscal year ended December 31, 2021, for filing with the SEC.</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Audit and Risk Committee of the board of directors: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Jeffrey P. Hank (Chair)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Wendy M. Pfeiffer</w:t>
      </w:r>
    </w:p>
    <w:p>
      <w:pPr>
        <w:ind w:left="440"/>
        <w:spacing w:after="0"/>
        <w:rPr>
          <w:sz w:val="20"/>
          <w:szCs w:val="20"/>
          <w:color w:val="auto"/>
        </w:rPr>
      </w:pPr>
      <w:r>
        <w:rPr>
          <w:rFonts w:ascii="Arial" w:cs="Arial" w:eastAsia="Arial" w:hAnsi="Arial"/>
          <w:sz w:val="18"/>
          <w:szCs w:val="18"/>
          <w:color w:val="auto"/>
        </w:rPr>
        <w:t>John Zangardi</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69" w:right="47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ENVIRONMENTAL, SOCIAL AND GOVERNANCE (ESG)</w:t>
      </w:r>
    </w:p>
    <w:p>
      <w:pPr>
        <w:spacing w:after="0" w:line="212" w:lineRule="exact"/>
        <w:rPr>
          <w:sz w:val="20"/>
          <w:szCs w:val="20"/>
          <w:color w:val="auto"/>
        </w:rPr>
      </w:pPr>
    </w:p>
    <w:p>
      <w:pPr>
        <w:ind w:right="160" w:firstLine="440"/>
        <w:spacing w:after="0" w:line="247" w:lineRule="auto"/>
        <w:rPr>
          <w:sz w:val="20"/>
          <w:szCs w:val="20"/>
          <w:color w:val="auto"/>
        </w:rPr>
      </w:pPr>
      <w:r>
        <w:rPr>
          <w:rFonts w:ascii="Arial" w:cs="Arial" w:eastAsia="Arial" w:hAnsi="Arial"/>
          <w:sz w:val="18"/>
          <w:szCs w:val="18"/>
          <w:color w:val="auto"/>
        </w:rPr>
        <w:t>Our commitment to solid governance, environmental stewardship and social responsibility is essential to our business strategy and long-term value creation for our stakeholders. We believe that doing the right thing for our people, our communities and our environment engenders the trust of our customers, partners, employees and stockholders, enabling us to grow our business profitably and meet the diverse needs of our constituents.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ESG</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board of directors believes that oversight of ESG issues is a key responsibility of the entire board. Each of our board committees works closely with management to oversee ESG across our business operations in the areas aligned with their respective responsibilities. In accordance with its charter, our Nominating and ESG Committee oversees our ESG activities, programs and public disclosures. Our Audit and Risk Committee has oversight responsibility of policies on risk assessment and risk management, including security, data privacy, reliability, business continuity and capacity matters. Our Compensation and Talent Committee oversees a range of human capital management practices, including matters relating to talent acquisition, compensation, benefits, training and development, as well as employee diversity and inclusion.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04"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i w:val="1"/>
          <w:iCs w:val="1"/>
          <w:color w:val="auto"/>
        </w:rPr>
        <w:t xml:space="preserve">Our Sustainable Solutions. </w:t>
      </w:r>
      <w:r>
        <w:rPr>
          <w:rFonts w:ascii="Arial" w:cs="Arial" w:eastAsia="Arial" w:hAnsi="Arial"/>
          <w:sz w:val="18"/>
          <w:szCs w:val="18"/>
          <w:color w:val="auto"/>
        </w:rPr>
        <w:t>Qualys products, delivered via our multi-tenant cloud platform, are enabling improved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for our customers.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174"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i w:val="1"/>
          <w:iCs w:val="1"/>
          <w:color w:val="auto"/>
        </w:rPr>
        <w:t xml:space="preserve">Our Eco-Friendly Operations. </w:t>
      </w:r>
      <w:r>
        <w:rPr>
          <w:rFonts w:ascii="Arial" w:cs="Arial" w:eastAsia="Arial" w:hAnsi="Arial"/>
          <w:sz w:val="18"/>
          <w:szCs w:val="18"/>
          <w:color w:val="auto"/>
        </w:rPr>
        <w:t>Our environmental, health and safety systems, processes and tools in place across our footprint</w:t>
      </w:r>
      <w:r>
        <w:rPr>
          <w:rFonts w:ascii="Arial" w:cs="Arial" w:eastAsia="Arial" w:hAnsi="Arial"/>
          <w:sz w:val="18"/>
          <w:szCs w:val="18"/>
          <w:i w:val="1"/>
          <w:iCs w:val="1"/>
          <w:color w:val="auto"/>
        </w:rPr>
        <w:t xml:space="preserve"> </w:t>
      </w:r>
      <w:r>
        <w:rPr>
          <w:rFonts w:ascii="Arial" w:cs="Arial" w:eastAsia="Arial" w:hAnsi="Arial"/>
          <w:sz w:val="18"/>
          <w:szCs w:val="18"/>
          <w:color w:val="auto"/>
        </w:rPr>
        <w:t>enable Qualys to meet or exceed governmental and industry requirements. We strive to operate our platforms in energy-efficient networks and data centers as well as pursue sustainability initiatives that reduce energy, waste and materials consumption.</w:t>
      </w:r>
    </w:p>
    <w:p>
      <w:pPr>
        <w:spacing w:after="0" w:line="169" w:lineRule="exact"/>
        <w:rPr>
          <w:sz w:val="20"/>
          <w:szCs w:val="20"/>
          <w:color w:val="auto"/>
        </w:rPr>
      </w:pPr>
    </w:p>
    <w:p>
      <w:pPr>
        <w:ind w:right="100" w:firstLine="440"/>
        <w:spacing w:after="0" w:line="242" w:lineRule="auto"/>
        <w:rPr>
          <w:sz w:val="20"/>
          <w:szCs w:val="20"/>
          <w:color w:val="auto"/>
        </w:rPr>
      </w:pPr>
      <w:r>
        <w:rPr>
          <w:rFonts w:ascii="Arial" w:cs="Arial" w:eastAsia="Arial" w:hAnsi="Arial"/>
          <w:sz w:val="18"/>
          <w:szCs w:val="18"/>
          <w:i w:val="1"/>
          <w:iCs w:val="1"/>
          <w:color w:val="auto"/>
        </w:rPr>
        <w:t xml:space="preserve">Environmental Standards Within Supply Chain. </w:t>
      </w:r>
      <w:r>
        <w:rPr>
          <w:rFonts w:ascii="Arial" w:cs="Arial" w:eastAsia="Arial" w:hAnsi="Arial"/>
          <w:sz w:val="18"/>
          <w:szCs w:val="18"/>
          <w:color w:val="auto"/>
        </w:rPr>
        <w:t>We are committed to advancing supply chain responsibility and strive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promote greater accountability in our own operations and with our suppliers. Qualys outsources product manufacturing and recycling to suppliers and vendors that follow the highest environmental standards in the industry, such as ISO 14001. We also prohibit our suppliers from profiting from the sale of tantalum, tin, tungsten, and gold (also known as “conflict minerals”) that funds conflict in the Democratic Republic of the Congo (DRC) and adjoining countries, and we require that our suppliers source these minerals from socially responsible suppliers.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04" w:lineRule="exact"/>
        <w:rPr>
          <w:sz w:val="20"/>
          <w:szCs w:val="20"/>
          <w:color w:val="auto"/>
        </w:rPr>
      </w:pPr>
    </w:p>
    <w:p>
      <w:pPr>
        <w:ind w:firstLine="440"/>
        <w:spacing w:after="0" w:line="266" w:lineRule="auto"/>
        <w:rPr>
          <w:sz w:val="20"/>
          <w:szCs w:val="20"/>
          <w:color w:val="auto"/>
        </w:rPr>
      </w:pPr>
      <w:r>
        <w:rPr>
          <w:rFonts w:ascii="Arial" w:cs="Arial" w:eastAsia="Arial" w:hAnsi="Arial"/>
          <w:sz w:val="17"/>
          <w:szCs w:val="17"/>
          <w:i w:val="1"/>
          <w:iCs w:val="1"/>
          <w:color w:val="auto"/>
        </w:rPr>
        <w:t xml:space="preserve">Talent Development, Health and Safety. </w:t>
      </w:r>
      <w:r>
        <w:rPr>
          <w:rFonts w:ascii="Arial" w:cs="Arial" w:eastAsia="Arial" w:hAnsi="Arial"/>
          <w:sz w:val="17"/>
          <w:szCs w:val="17"/>
          <w:color w:val="auto"/>
        </w:rPr>
        <w:t>We take a holistic approach to our social strategy, striving to create a culture where talented</w:t>
      </w:r>
      <w:r>
        <w:rPr>
          <w:rFonts w:ascii="Arial" w:cs="Arial" w:eastAsia="Arial" w:hAnsi="Arial"/>
          <w:sz w:val="17"/>
          <w:szCs w:val="17"/>
          <w:i w:val="1"/>
          <w:iCs w:val="1"/>
          <w:color w:val="auto"/>
        </w:rPr>
        <w:t xml:space="preserve"> </w:t>
      </w:r>
      <w:r>
        <w:rPr>
          <w:rFonts w:ascii="Arial" w:cs="Arial" w:eastAsia="Arial" w:hAnsi="Arial"/>
          <w:sz w:val="17"/>
          <w:szCs w:val="17"/>
          <w:color w:val="auto"/>
        </w:rPr>
        <w:t>people want to come to work, develop their careers, become leaders, and make a difference for all our stakeholders and communities. We believe every employee makes a difference, so we empower them in their roles and support them for maximum professional growth. We assist employees in achieving their career goals by helping them improve their skillsets and transition to other challenging roles.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on our Human Capital Resources, please see our 2021 annual report on Form 10-K.</w:t>
      </w:r>
    </w:p>
    <w:p>
      <w:pPr>
        <w:spacing w:after="0" w:line="14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69" w:right="479" w:bottom="1440" w:gutter="0" w:footer="0" w:header="0"/>
        </w:sectPr>
      </w:pPr>
    </w:p>
    <w:bookmarkStart w:id="38" w:name="page39"/>
    <w:bookmarkEnd w:id="38"/>
    <w:p>
      <w:pPr>
        <w:ind w:right="140" w:firstLine="440"/>
        <w:spacing w:after="0" w:line="24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Diversity and Inclusion. </w:t>
      </w:r>
      <w:r>
        <w:rPr>
          <w:rFonts w:ascii="Arial" w:cs="Arial" w:eastAsia="Arial" w:hAnsi="Arial"/>
          <w:sz w:val="18"/>
          <w:szCs w:val="18"/>
          <w:color w:val="auto"/>
        </w:rPr>
        <w:t>We are proud to be a leader in the promotion and practice of diversity and inclusion. In addition to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and employees all over the world, we take pride in our cultural diversity. Our objective is to continue to improve our hiring, development, advancement, and retention of diverse talent and to foster an inclusive environment. Our board of directors is comprised of 50% gender and ethnically diverse directors, and more than 50% of the executive team are from underrepresented communities.</w:t>
      </w:r>
    </w:p>
    <w:p>
      <w:pPr>
        <w:spacing w:after="0" w:line="174"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i w:val="1"/>
          <w:iCs w:val="1"/>
          <w:color w:val="auto"/>
        </w:rPr>
        <w:t xml:space="preserve">Socially Responsible Sourcing. </w:t>
      </w:r>
      <w:r>
        <w:rPr>
          <w:rFonts w:ascii="Arial" w:cs="Arial" w:eastAsia="Arial" w:hAnsi="Arial"/>
          <w:sz w:val="18"/>
          <w:szCs w:val="18"/>
          <w:color w:val="auto"/>
        </w:rPr>
        <w:t>We are committed to ensuring that no modern slavery or human trafficking is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w:t>
      </w:r>
    </w:p>
    <w:p>
      <w:pPr>
        <w:spacing w:after="0" w:line="176"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i w:val="1"/>
          <w:iCs w:val="1"/>
          <w:color w:val="auto"/>
        </w:rPr>
        <w:t xml:space="preserve">Data Security and Customer Privacy. </w:t>
      </w:r>
      <w:r>
        <w:rPr>
          <w:rFonts w:ascii="Arial" w:cs="Arial" w:eastAsia="Arial" w:hAnsi="Arial"/>
          <w:sz w:val="18"/>
          <w:szCs w:val="18"/>
          <w:color w:val="auto"/>
        </w:rPr>
        <w:t>We also strongly believe in encouraging organizations to continually work toward improving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security posture through the vulnerability detection, remediation and response capabilities of the Qualys Cloud Platform. Our cloud platform helps organizations protect their systems and applications from ever-evolving cyber-attacks and helps achieve compliance with internal policies and external regulations. For more information on our Qualys Cloud Platform, please see our 2021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Business Ethics</w:t>
      </w:r>
    </w:p>
    <w:p>
      <w:pPr>
        <w:spacing w:after="0" w:line="104"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We are committed to maintaining a strong corporate governance program that complies with all requirements, reflects best practices and continues to evolve as new expectations and opportunities emerge. Notable highlights include:</w:t>
      </w:r>
    </w:p>
    <w:p>
      <w:pPr>
        <w:spacing w:after="0" w:line="59" w:lineRule="exact"/>
        <w:rPr>
          <w:sz w:val="20"/>
          <w:szCs w:val="20"/>
          <w:color w:val="auto"/>
        </w:rPr>
      </w:pPr>
    </w:p>
    <w:p>
      <w:pPr>
        <w:ind w:left="960" w:hanging="424"/>
        <w:spacing w:after="0" w:line="24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acts in the best interest of our company and our stockholders, and meets or exceeds evolving regulatory, stockholder, business and other requirements. Our board operates under Corporate Governance Guidelines, which together with board committee charters and our certificate of incorporation and bylaws, constitute the primary structure for governance of our company;</w:t>
      </w:r>
    </w:p>
    <w:p>
      <w:pPr>
        <w:spacing w:after="0" w:line="79" w:lineRule="exact"/>
        <w:rPr>
          <w:rFonts w:ascii="Arial" w:cs="Arial" w:eastAsia="Arial" w:hAnsi="Arial"/>
          <w:sz w:val="18"/>
          <w:szCs w:val="18"/>
          <w:color w:val="auto"/>
        </w:rPr>
      </w:pPr>
    </w:p>
    <w:p>
      <w:pPr>
        <w:ind w:left="960" w:right="180" w:hanging="424"/>
        <w:spacing w:after="0" w:line="271"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Code of Business Conduct and Ethics applies to all directors, officers, employees of Qualys and its subsidiaries. Agents and contractors of Qualys are also expected to read, understand and abide by this code.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104"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This proxy statement includes several website addresses or references to additional company reports or resources found on our corporate website. These website addresses are intended to provide inactive, textual references only. The information on these websites, including the information contained in those reports or resources, is not part of this proxy statement and is not incorporated by reference in this proxy statement.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69"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OFFICERS</w:t>
      </w:r>
    </w:p>
    <w:p>
      <w:pPr>
        <w:spacing w:after="0" w:line="212"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The following table identifies certain information about our executive officers as of April 21, 2022. Officers are elected by our board of directors to hold office until their successors are elected and qualified.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1360" w:type="dxa"/>
            <w:vAlign w:val="bottom"/>
            <w:shd w:val="clear" w:color="auto" w:fill="FF0C07"/>
          </w:tcPr>
          <w:p>
            <w:pPr>
              <w:jc w:val="right"/>
              <w:ind w:right="14"/>
              <w:spacing w:after="0"/>
              <w:rPr>
                <w:sz w:val="20"/>
                <w:szCs w:val="20"/>
                <w:color w:val="auto"/>
              </w:rPr>
            </w:pPr>
            <w:r>
              <w:rPr>
                <w:rFonts w:ascii="Arial" w:cs="Arial" w:eastAsia="Arial" w:hAnsi="Arial"/>
                <w:sz w:val="14"/>
                <w:szCs w:val="14"/>
                <w:b w:val="1"/>
                <w:bCs w:val="1"/>
                <w:color w:val="FFFFFF"/>
              </w:rPr>
              <w:t>Age</w:t>
            </w:r>
          </w:p>
        </w:tc>
        <w:tc>
          <w:tcPr>
            <w:tcW w:w="718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Position</w:t>
            </w:r>
          </w:p>
        </w:tc>
      </w:tr>
      <w:tr>
        <w:trPr>
          <w:trHeight w:val="184"/>
        </w:trPr>
        <w:tc>
          <w:tcPr>
            <w:tcW w:w="2480" w:type="dxa"/>
            <w:vAlign w:val="bottom"/>
          </w:tcPr>
          <w:p>
            <w:pPr>
              <w:spacing w:after="0" w:line="183" w:lineRule="exact"/>
              <w:rPr>
                <w:sz w:val="20"/>
                <w:szCs w:val="20"/>
                <w:color w:val="auto"/>
              </w:rPr>
            </w:pPr>
            <w:r>
              <w:rPr>
                <w:rFonts w:ascii="Arial" w:cs="Arial" w:eastAsia="Arial" w:hAnsi="Arial"/>
                <w:sz w:val="18"/>
                <w:szCs w:val="18"/>
                <w:color w:val="auto"/>
              </w:rPr>
              <w:t>Sumedh S. Thakar</w:t>
            </w:r>
          </w:p>
        </w:tc>
        <w:tc>
          <w:tcPr>
            <w:tcW w:w="1360" w:type="dxa"/>
            <w:vAlign w:val="bottom"/>
          </w:tcPr>
          <w:p>
            <w:pPr>
              <w:jc w:val="right"/>
              <w:ind w:right="14"/>
              <w:spacing w:after="0" w:line="183" w:lineRule="exact"/>
              <w:rPr>
                <w:sz w:val="20"/>
                <w:szCs w:val="20"/>
                <w:color w:val="auto"/>
              </w:rPr>
            </w:pPr>
            <w:r>
              <w:rPr>
                <w:rFonts w:ascii="Arial" w:cs="Arial" w:eastAsia="Arial" w:hAnsi="Arial"/>
                <w:sz w:val="18"/>
                <w:szCs w:val="18"/>
                <w:color w:val="auto"/>
              </w:rPr>
              <w:t>46</w:t>
            </w:r>
          </w:p>
        </w:tc>
        <w:tc>
          <w:tcPr>
            <w:tcW w:w="7180" w:type="dxa"/>
            <w:vAlign w:val="bottom"/>
          </w:tcPr>
          <w:p>
            <w:pPr>
              <w:ind w:left="80"/>
              <w:spacing w:after="0" w:line="183" w:lineRule="exact"/>
              <w:rPr>
                <w:sz w:val="20"/>
                <w:szCs w:val="20"/>
                <w:color w:val="auto"/>
              </w:rPr>
            </w:pPr>
            <w:r>
              <w:rPr>
                <w:rFonts w:ascii="Arial" w:cs="Arial" w:eastAsia="Arial" w:hAnsi="Arial"/>
                <w:sz w:val="18"/>
                <w:szCs w:val="18"/>
                <w:color w:val="auto"/>
              </w:rPr>
              <w:t>Director, President and Chief Executive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w:t>
            </w:r>
          </w:p>
        </w:tc>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Allan Peters</w:t>
            </w: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57</w:t>
            </w:r>
          </w:p>
        </w:tc>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Chief Revenue Officer</w:t>
            </w:r>
          </w:p>
        </w:tc>
      </w:tr>
      <w:tr>
        <w:trPr>
          <w:trHeight w:val="239"/>
        </w:trPr>
        <w:tc>
          <w:tcPr>
            <w:tcW w:w="2480" w:type="dxa"/>
            <w:vAlign w:val="bottom"/>
          </w:tcPr>
          <w:p>
            <w:pPr>
              <w:spacing w:after="0"/>
              <w:rPr>
                <w:sz w:val="20"/>
                <w:szCs w:val="20"/>
                <w:color w:val="auto"/>
              </w:rPr>
            </w:pPr>
            <w:r>
              <w:rPr>
                <w:rFonts w:ascii="Arial" w:cs="Arial" w:eastAsia="Arial" w:hAnsi="Arial"/>
                <w:sz w:val="18"/>
                <w:szCs w:val="18"/>
                <w:color w:val="auto"/>
              </w:rPr>
              <w:t>Bruce K. Posey</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7180" w:type="dxa"/>
            <w:vAlign w:val="bottom"/>
          </w:tcPr>
          <w:p>
            <w:pPr>
              <w:ind w:left="80"/>
              <w:spacing w:after="0"/>
              <w:rPr>
                <w:sz w:val="20"/>
                <w:szCs w:val="20"/>
                <w:color w:val="auto"/>
              </w:rPr>
            </w:pPr>
            <w:r>
              <w:rPr>
                <w:rFonts w:ascii="Arial" w:cs="Arial" w:eastAsia="Arial" w:hAnsi="Arial"/>
                <w:sz w:val="18"/>
                <w:szCs w:val="18"/>
                <w:color w:val="auto"/>
              </w:rPr>
              <w:t>Chief Legal Officer and Corporate Secretary</w:t>
            </w:r>
          </w:p>
        </w:tc>
      </w:tr>
    </w:tbl>
    <w:p>
      <w:pPr>
        <w:spacing w:after="0" w:line="180"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is also a director of Qualys.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for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biography.</w:t>
      </w:r>
    </w:p>
    <w:p>
      <w:pPr>
        <w:spacing w:after="0" w:line="15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b w:val="1"/>
          <w:bCs w:val="1"/>
          <w:i w:val="1"/>
          <w:iCs w:val="1"/>
          <w:color w:val="auto"/>
        </w:rPr>
        <w:t xml:space="preserve">Joo Mi Kim </w:t>
      </w:r>
      <w:r>
        <w:rPr>
          <w:rFonts w:ascii="Arial" w:cs="Arial" w:eastAsia="Arial" w:hAnsi="Arial"/>
          <w:sz w:val="18"/>
          <w:szCs w:val="18"/>
          <w:color w:val="auto"/>
        </w:rPr>
        <w:t>has served as our Chief Financial Officer since June 2020. Ms. Kim rejoined us from Impact, a partnership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Bachelor of Arts degree in Economics from the University of Chicago and Master of Business Administration degree from the Wharton School of the University of Pennsylvania.</w:t>
      </w:r>
    </w:p>
    <w:p>
      <w:pPr>
        <w:spacing w:after="0" w:line="180" w:lineRule="exact"/>
        <w:rPr>
          <w:sz w:val="20"/>
          <w:szCs w:val="20"/>
          <w:color w:val="auto"/>
        </w:rPr>
      </w:pPr>
    </w:p>
    <w:p>
      <w:pPr>
        <w:ind w:right="40" w:firstLine="440"/>
        <w:spacing w:after="0" w:line="244" w:lineRule="auto"/>
        <w:rPr>
          <w:sz w:val="20"/>
          <w:szCs w:val="20"/>
          <w:color w:val="auto"/>
        </w:rPr>
      </w:pPr>
      <w:r>
        <w:rPr>
          <w:rFonts w:ascii="Arial" w:cs="Arial" w:eastAsia="Arial" w:hAnsi="Arial"/>
          <w:sz w:val="18"/>
          <w:szCs w:val="18"/>
          <w:b w:val="1"/>
          <w:bCs w:val="1"/>
          <w:i w:val="1"/>
          <w:iCs w:val="1"/>
          <w:color w:val="auto"/>
        </w:rPr>
        <w:t xml:space="preserve">Allan Peters </w:t>
      </w:r>
      <w:r>
        <w:rPr>
          <w:rFonts w:ascii="Arial" w:cs="Arial" w:eastAsia="Arial" w:hAnsi="Arial"/>
          <w:sz w:val="18"/>
          <w:szCs w:val="18"/>
          <w:color w:val="auto"/>
        </w:rPr>
        <w:t>has served as our Chief Revenue Officer since May 2021. From August 2018 to May 2021, Mr. Peters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Officer at Trustwave, a leader in cybersecurity threat detection and response, and from April 2016 to June 2018, he served as Chief Revenue Officer at Conga, a revenue lifecycle management solution provider. Previously, Mr. Peters held executive sales leadership positions in public and private growth companies BigFix, SecurityFocus, CA, IBM and Symantec. Mr. Peters holds a Bachelor of Science degree in Business from the University of Kansas.</w:t>
      </w:r>
    </w:p>
    <w:p>
      <w:pPr>
        <w:spacing w:after="0" w:line="176"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b w:val="1"/>
          <w:bCs w:val="1"/>
          <w:i w:val="1"/>
          <w:iCs w:val="1"/>
          <w:color w:val="auto"/>
        </w:rPr>
        <w:t xml:space="preserve">Bruce K. Posey </w:t>
      </w:r>
      <w:r>
        <w:rPr>
          <w:rFonts w:ascii="Arial" w:cs="Arial" w:eastAsia="Arial" w:hAnsi="Arial"/>
          <w:sz w:val="18"/>
          <w:szCs w:val="18"/>
          <w:color w:val="auto"/>
        </w:rPr>
        <w:t>has served as our Chief Legal Officer since October 2021 and our Corporate Secretary since June 2012. Mr. Posey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our Vice President and General Counsel from May 2012 to October 2021.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69" w:right="43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COMPENSATION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4" w:lineRule="exact"/>
        <w:rPr>
          <w:sz w:val="20"/>
          <w:szCs w:val="20"/>
          <w:color w:val="auto"/>
        </w:rPr>
      </w:pPr>
    </w:p>
    <w:p>
      <w:pPr>
        <w:jc w:val="both"/>
        <w:ind w:left="4" w:right="600" w:firstLine="440"/>
        <w:spacing w:after="0" w:line="253" w:lineRule="auto"/>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individuals are collectively referred to in this Compensation Discussion and Analysis and the accompanying compensation tables as the “named executive officers”: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74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8280" w:type="dxa"/>
            <w:vAlign w:val="bottom"/>
            <w:shd w:val="clear" w:color="auto" w:fill="FF0C07"/>
          </w:tcPr>
          <w:p>
            <w:pPr>
              <w:ind w:left="1000"/>
              <w:spacing w:after="0"/>
              <w:rPr>
                <w:sz w:val="20"/>
                <w:szCs w:val="20"/>
                <w:color w:val="auto"/>
              </w:rPr>
            </w:pPr>
            <w:r>
              <w:rPr>
                <w:rFonts w:ascii="Arial" w:cs="Arial" w:eastAsia="Arial" w:hAnsi="Arial"/>
                <w:sz w:val="14"/>
                <w:szCs w:val="14"/>
                <w:b w:val="1"/>
                <w:bCs w:val="1"/>
                <w:color w:val="FFFFFF"/>
              </w:rPr>
              <w:t>Position</w:t>
            </w:r>
          </w:p>
        </w:tc>
      </w:tr>
      <w:tr>
        <w:trPr>
          <w:trHeight w:val="184"/>
        </w:trPr>
        <w:tc>
          <w:tcPr>
            <w:tcW w:w="2740" w:type="dxa"/>
            <w:vAlign w:val="bottom"/>
          </w:tcPr>
          <w:p>
            <w:pPr>
              <w:spacing w:after="0" w:line="183" w:lineRule="exact"/>
              <w:rPr>
                <w:sz w:val="20"/>
                <w:szCs w:val="20"/>
                <w:color w:val="auto"/>
              </w:rPr>
            </w:pPr>
            <w:r>
              <w:rPr>
                <w:rFonts w:ascii="Arial" w:cs="Arial" w:eastAsia="Arial" w:hAnsi="Arial"/>
                <w:sz w:val="18"/>
                <w:szCs w:val="18"/>
                <w:color w:val="auto"/>
              </w:rPr>
              <w:t xml:space="preserve">Sumedh S. Thakar </w:t>
            </w:r>
            <w:r>
              <w:rPr>
                <w:rFonts w:ascii="Arial" w:cs="Arial" w:eastAsia="Arial" w:hAnsi="Arial"/>
                <w:sz w:val="15"/>
                <w:szCs w:val="15"/>
                <w:color w:val="auto"/>
              </w:rPr>
              <w:t>(1)</w:t>
            </w:r>
          </w:p>
        </w:tc>
        <w:tc>
          <w:tcPr>
            <w:tcW w:w="8280" w:type="dxa"/>
            <w:vAlign w:val="bottom"/>
          </w:tcPr>
          <w:p>
            <w:pPr>
              <w:ind w:left="1000"/>
              <w:spacing w:after="0" w:line="183" w:lineRule="exact"/>
              <w:rPr>
                <w:sz w:val="20"/>
                <w:szCs w:val="20"/>
                <w:color w:val="auto"/>
              </w:rPr>
            </w:pPr>
            <w:r>
              <w:rPr>
                <w:rFonts w:ascii="Arial" w:cs="Arial" w:eastAsia="Arial" w:hAnsi="Arial"/>
                <w:sz w:val="18"/>
                <w:szCs w:val="18"/>
                <w:color w:val="auto"/>
              </w:rPr>
              <w:t>Director, President and Chief Executive Officer (“CEO”)</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 xml:space="preserve">Philippe F. Courtot </w:t>
            </w:r>
            <w:r>
              <w:rPr>
                <w:rFonts w:ascii="Arial" w:cs="Arial" w:eastAsia="Arial" w:hAnsi="Arial"/>
                <w:sz w:val="15"/>
                <w:szCs w:val="15"/>
                <w:color w:val="auto"/>
              </w:rPr>
              <w:t>(2)</w:t>
            </w:r>
          </w:p>
        </w:tc>
        <w:tc>
          <w:tcPr>
            <w:tcW w:w="8280" w:type="dxa"/>
            <w:vAlign w:val="bottom"/>
          </w:tcPr>
          <w:p>
            <w:pPr>
              <w:ind w:left="1000"/>
              <w:spacing w:after="0" w:line="202" w:lineRule="exact"/>
              <w:rPr>
                <w:sz w:val="20"/>
                <w:szCs w:val="20"/>
                <w:color w:val="auto"/>
              </w:rPr>
            </w:pPr>
            <w:r>
              <w:rPr>
                <w:rFonts w:ascii="Arial" w:cs="Arial" w:eastAsia="Arial" w:hAnsi="Arial"/>
                <w:sz w:val="18"/>
                <w:szCs w:val="18"/>
                <w:color w:val="auto"/>
              </w:rPr>
              <w:t>Former Chief Executive Officer</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8280" w:type="dxa"/>
            <w:vAlign w:val="bottom"/>
          </w:tcPr>
          <w:p>
            <w:pPr>
              <w:ind w:left="10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 xml:space="preserve">Allan Peters </w:t>
            </w:r>
            <w:r>
              <w:rPr>
                <w:rFonts w:ascii="Arial" w:cs="Arial" w:eastAsia="Arial" w:hAnsi="Arial"/>
                <w:sz w:val="15"/>
                <w:szCs w:val="15"/>
                <w:color w:val="auto"/>
              </w:rPr>
              <w:t>(3)</w:t>
            </w:r>
          </w:p>
        </w:tc>
        <w:tc>
          <w:tcPr>
            <w:tcW w:w="8280" w:type="dxa"/>
            <w:vAlign w:val="bottom"/>
          </w:tcPr>
          <w:p>
            <w:pPr>
              <w:ind w:left="1000"/>
              <w:spacing w:after="0" w:line="202" w:lineRule="exact"/>
              <w:rPr>
                <w:sz w:val="20"/>
                <w:szCs w:val="20"/>
                <w:color w:val="auto"/>
              </w:rPr>
            </w:pPr>
            <w:r>
              <w:rPr>
                <w:rFonts w:ascii="Arial" w:cs="Arial" w:eastAsia="Arial" w:hAnsi="Arial"/>
                <w:sz w:val="18"/>
                <w:szCs w:val="18"/>
                <w:color w:val="auto"/>
              </w:rPr>
              <w:t>Chief Revenue Officer (“CRO”)</w:t>
            </w:r>
          </w:p>
        </w:tc>
      </w:tr>
      <w:tr>
        <w:trPr>
          <w:trHeight w:val="239"/>
        </w:trPr>
        <w:tc>
          <w:tcPr>
            <w:tcW w:w="2740" w:type="dxa"/>
            <w:vAlign w:val="bottom"/>
          </w:tcPr>
          <w:p>
            <w:pPr>
              <w:spacing w:after="0"/>
              <w:rPr>
                <w:sz w:val="20"/>
                <w:szCs w:val="20"/>
                <w:color w:val="auto"/>
              </w:rPr>
            </w:pPr>
            <w:r>
              <w:rPr>
                <w:rFonts w:ascii="Arial" w:cs="Arial" w:eastAsia="Arial" w:hAnsi="Arial"/>
                <w:sz w:val="18"/>
                <w:szCs w:val="18"/>
                <w:color w:val="auto"/>
              </w:rPr>
              <w:t xml:space="preserve">Bruce K. Posey </w:t>
            </w:r>
            <w:r>
              <w:rPr>
                <w:rFonts w:ascii="Arial" w:cs="Arial" w:eastAsia="Arial" w:hAnsi="Arial"/>
                <w:sz w:val="15"/>
                <w:szCs w:val="15"/>
                <w:color w:val="auto"/>
              </w:rPr>
              <w:t>(4)</w:t>
            </w:r>
          </w:p>
        </w:tc>
        <w:tc>
          <w:tcPr>
            <w:tcW w:w="8280" w:type="dxa"/>
            <w:vAlign w:val="bottom"/>
          </w:tcPr>
          <w:p>
            <w:pPr>
              <w:ind w:left="1000"/>
              <w:spacing w:after="0"/>
              <w:rPr>
                <w:sz w:val="20"/>
                <w:szCs w:val="20"/>
                <w:color w:val="auto"/>
              </w:rPr>
            </w:pPr>
            <w:r>
              <w:rPr>
                <w:rFonts w:ascii="Arial" w:cs="Arial" w:eastAsia="Arial" w:hAnsi="Arial"/>
                <w:sz w:val="18"/>
                <w:szCs w:val="18"/>
                <w:color w:val="auto"/>
              </w:rPr>
              <w:t>Chief Legal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380" w:hanging="424"/>
        <w:spacing w:after="0" w:line="256"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Thakar was appointed to our board of directors and as our interim CEO, effective February 7, 2021, in conjunction with Mr. Courtot taking a leave of absence. Mr. Thakar was appointed as our CEO, effective April 27, 2021.</w:t>
      </w:r>
    </w:p>
    <w:p>
      <w:pPr>
        <w:spacing w:after="0" w:line="1" w:lineRule="exact"/>
        <w:rPr>
          <w:rFonts w:ascii="Arial" w:cs="Arial" w:eastAsia="Arial" w:hAnsi="Arial"/>
          <w:sz w:val="16"/>
          <w:szCs w:val="16"/>
          <w:color w:val="auto"/>
        </w:rPr>
      </w:pPr>
    </w:p>
    <w:p>
      <w:pPr>
        <w:ind w:left="424" w:right="220" w:hanging="424"/>
        <w:spacing w:after="0" w:line="246"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Courtot took a leave of absence beginning in February 2021 due to health issues and resigned as our CEO in March 2021 due to such health issues.</w:t>
      </w:r>
    </w:p>
    <w:p>
      <w:pPr>
        <w:ind w:left="424" w:right="60" w:hanging="424"/>
        <w:spacing w:after="0" w:line="246"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Peters commenced employment with us on May 10, 2021, and was determined by our board of directors to be an executive officer of Qualys on October 28, 2021.</w:t>
      </w:r>
    </w:p>
    <w:p>
      <w:pPr>
        <w:ind w:left="424" w:hanging="424"/>
        <w:spacing w:after="0"/>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Posey was appointed as our Chief Legal Officer, effective October 28, 2021.</w:t>
      </w:r>
    </w:p>
    <w:p>
      <w:pPr>
        <w:spacing w:after="0" w:line="3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02" w:lineRule="exact"/>
        <w:rPr>
          <w:sz w:val="20"/>
          <w:szCs w:val="20"/>
          <w:color w:val="auto"/>
        </w:rPr>
      </w:pPr>
    </w:p>
    <w:p>
      <w:pPr>
        <w:ind w:left="4" w:right="40" w:firstLine="440"/>
        <w:spacing w:after="0" w:line="242" w:lineRule="auto"/>
        <w:rPr>
          <w:sz w:val="20"/>
          <w:szCs w:val="20"/>
          <w:color w:val="auto"/>
        </w:rPr>
      </w:pPr>
      <w:r>
        <w:rPr>
          <w:rFonts w:ascii="Arial" w:cs="Arial" w:eastAsia="Arial" w:hAnsi="Arial"/>
          <w:sz w:val="18"/>
          <w:szCs w:val="18"/>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w:t>
      </w:r>
    </w:p>
    <w:p>
      <w:pPr>
        <w:spacing w:after="0" w:line="179" w:lineRule="exact"/>
        <w:rPr>
          <w:sz w:val="20"/>
          <w:szCs w:val="20"/>
          <w:color w:val="auto"/>
        </w:rPr>
      </w:pPr>
    </w:p>
    <w:p>
      <w:pPr>
        <w:ind w:left="4" w:right="180" w:firstLine="440"/>
        <w:spacing w:after="0" w:line="242"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79" w:lineRule="exact"/>
        <w:rPr>
          <w:sz w:val="20"/>
          <w:szCs w:val="20"/>
          <w:color w:val="auto"/>
        </w:rPr>
      </w:pPr>
    </w:p>
    <w:p>
      <w:pPr>
        <w:ind w:left="4" w:right="280" w:firstLine="440"/>
        <w:spacing w:after="0" w:line="253" w:lineRule="auto"/>
        <w:rPr>
          <w:sz w:val="20"/>
          <w:szCs w:val="20"/>
          <w:color w:val="auto"/>
        </w:rPr>
      </w:pPr>
      <w:r>
        <w:rPr>
          <w:rFonts w:ascii="Arial" w:cs="Arial" w:eastAsia="Arial" w:hAnsi="Arial"/>
          <w:sz w:val="18"/>
          <w:szCs w:val="18"/>
          <w:color w:val="auto"/>
        </w:rPr>
        <w:t>We intend to leverage our innovation, extensive expertise and position as a trusted provider of cloud-based IT, security and compliance solutions to continue to grow our revenues and maintain strong profitability. In 2021, we continued our business momentum and improved our financial performance, as set forth in the bullets and graphics below:</w:t>
      </w:r>
    </w:p>
    <w:p>
      <w:pPr>
        <w:spacing w:after="0" w:line="74" w:lineRule="exact"/>
        <w:rPr>
          <w:sz w:val="20"/>
          <w:szCs w:val="20"/>
          <w:color w:val="auto"/>
        </w:rPr>
      </w:pPr>
    </w:p>
    <w:p>
      <w:pPr>
        <w:ind w:left="964" w:hanging="424"/>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 increased by 13% to $411.2 million, as compared to $363.0 million in 2020;</w:t>
      </w:r>
    </w:p>
    <w:p>
      <w:pPr>
        <w:spacing w:after="0" w:line="117" w:lineRule="exact"/>
        <w:rPr>
          <w:rFonts w:ascii="Arial" w:cs="Arial" w:eastAsia="Arial" w:hAnsi="Arial"/>
          <w:sz w:val="18"/>
          <w:szCs w:val="18"/>
          <w:color w:val="auto"/>
        </w:rPr>
      </w:pPr>
    </w:p>
    <w:p>
      <w:pPr>
        <w:ind w:left="964" w:right="280" w:hanging="424"/>
        <w:spacing w:after="0" w:line="271"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13% to $191.2 million, which represents 46% of our 2021 revenues, as compared to $169.5 million in 2020, which represents 47% of our 2020 revenues;</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69" w:right="439" w:bottom="1440" w:gutter="0" w:footer="0" w:header="0"/>
        </w:sectPr>
      </w:pPr>
    </w:p>
    <w:bookmarkStart w:id="41" w:name="page42"/>
    <w:bookmarkEnd w:id="41"/>
    <w:p>
      <w:pPr>
        <w:ind w:left="960" w:hanging="42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EPS* increased by 12% to $3.22, as compared to $2.87 in 2020;</w:t>
      </w:r>
    </w:p>
    <w:p>
      <w:pPr>
        <w:spacing w:after="0" w:line="117" w:lineRule="exact"/>
        <w:rPr>
          <w:rFonts w:ascii="Arial" w:cs="Arial" w:eastAsia="Arial" w:hAnsi="Arial"/>
          <w:sz w:val="18"/>
          <w:szCs w:val="18"/>
          <w:color w:val="auto"/>
        </w:rPr>
      </w:pPr>
    </w:p>
    <w:p>
      <w:pPr>
        <w:ind w:left="960" w:hanging="424"/>
        <w:spacing w:after="0" w:line="253"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Free cash flow per share* (a non-GAAP financial measure) increased by 19% to $4.39, as compared to $3.69 in 2020. In 2021, we continued to invest the cash we generated from operations back into Qualys, repurchasing $130 million of our stock, or approximately 1.1 million shares</w:t>
      </w:r>
    </w:p>
    <w:p>
      <w:pPr>
        <w:spacing w:after="0" w:line="6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contains a reconciliation of these non-GAAP financial measures to their most directly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163195</wp:posOffset>
            </wp:positionV>
            <wp:extent cx="5168900" cy="3060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6890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Consistent with our pay-for-performance philosophy, our non-equity incentive plan pays cash compensation based on achievement of bookings, revenue growth and non-GAAP EPS. The Compensation and Talent Committee selected these three metrics, which measure sales growth and profitability, as the corporate performance metrics that best support our annual operating plan and enhance long-term value creation. In 2021, we met or exceeded all of the performance targets, having crossed the growth inflection point with focused execution, and the non-equity incentive plan paid out at 100% of target. We ended the year strong with Q4 2021 revenue growth of 16% from a year ago, up from 12% year-over-year growth in Q4 2020.</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 Pay and Governance Practices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do </w:t>
      </w:r>
      <w:r>
        <w:rPr>
          <w:sz w:val="1"/>
          <w:szCs w:val="1"/>
          <w:color w:val="auto"/>
        </w:rPr>
        <w:drawing>
          <wp:inline distT="0" distB="0" distL="0" distR="0">
            <wp:extent cx="154305" cy="1200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120015"/>
                    </a:xfrm>
                    <a:prstGeom prst="rect">
                      <a:avLst/>
                    </a:prstGeom>
                    <a:noFill/>
                    <a:ln>
                      <a:noFill/>
                    </a:ln>
                  </pic:spPr>
                </pic:pic>
              </a:graphicData>
            </a:graphic>
          </wp:inline>
        </w:drawing>
      </w: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balance near- and long-term strategic objectives by providing a mix of cash and equity incentives</w:t>
      </w:r>
    </w:p>
    <w:p>
      <w:pPr>
        <w:spacing w:after="0" w:line="9" w:lineRule="exact"/>
        <w:rPr>
          <w:sz w:val="20"/>
          <w:szCs w:val="20"/>
          <w:color w:val="auto"/>
        </w:rPr>
      </w:pPr>
    </w:p>
    <w:p>
      <w:pPr>
        <w:ind w:left="720" w:right="96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cap non-equity incentive awards at 100% of target for all of our named executive officers, except our CRO whose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commissions are capped at 200% of target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69" w:right="479" w:bottom="1440" w:gutter="0" w:footer="0" w:header="0"/>
        </w:sectPr>
      </w:pPr>
    </w:p>
    <w:bookmarkStart w:id="42" w:name="page43"/>
    <w:bookmarkEnd w:id="42"/>
    <w:p>
      <w:pPr>
        <w:ind w:left="720" w:right="180" w:hanging="359"/>
        <w:spacing w:after="0" w:line="221"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color w:val="auto"/>
        </w:rPr>
        <w:t xml:space="preserve">   </w:t>
      </w:r>
      <w:r>
        <w:rPr>
          <w:rFonts w:ascii="Arial" w:cs="Arial" w:eastAsia="Arial" w:hAnsi="Arial"/>
          <w:sz w:val="18"/>
          <w:szCs w:val="18"/>
          <w:i w:val="1"/>
          <w:iCs w:val="1"/>
          <w:color w:val="auto"/>
        </w:rPr>
        <w:t>A substantial portion of our named executive officers’ equity awards is performance-based equity and the shares underlying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equity awards must be held (net of taxes) for three years from the award’s grant date (i.e., until all performance periods have concluded)</w:t>
      </w:r>
    </w:p>
    <w:p>
      <w:pPr>
        <w:spacing w:after="0" w:line="1"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audit our incentive plan processes, results, and payments on a regular basis</w:t>
      </w:r>
    </w:p>
    <w:p>
      <w:pPr>
        <w:spacing w:after="0" w:line="9" w:lineRule="exact"/>
        <w:rPr>
          <w:sz w:val="20"/>
          <w:szCs w:val="20"/>
          <w:color w:val="auto"/>
        </w:rPr>
      </w:pPr>
    </w:p>
    <w:p>
      <w:pPr>
        <w:ind w:left="720" w:right="6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hold an annual stockholder advisory vote to approve our named executive officers’ compensation and we engage with</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and respond to their feedback on our executive compensation programs</w:t>
      </w:r>
    </w:p>
    <w:p>
      <w:pPr>
        <w:spacing w:after="0" w:line="1" w:lineRule="exact"/>
        <w:rPr>
          <w:sz w:val="20"/>
          <w:szCs w:val="20"/>
          <w:color w:val="auto"/>
        </w:rPr>
      </w:pPr>
    </w:p>
    <w:p>
      <w:pPr>
        <w:ind w:left="360" w:right="284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adopted stock ownership guidelines for our non-employee directors and executive officers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adopted a clawback policy for our former and current executive officers</w:t>
      </w:r>
    </w:p>
    <w:p>
      <w:pPr>
        <w:spacing w:after="0" w:line="1" w:lineRule="exact"/>
        <w:rPr>
          <w:sz w:val="20"/>
          <w:szCs w:val="20"/>
          <w:color w:val="auto"/>
        </w:rPr>
      </w:pPr>
    </w:p>
    <w:p>
      <w:pPr>
        <w:ind w:left="720" w:right="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prohibit hedging and pledging of our common stock by all directors, officers, employees and agents (such as consultants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contractors) of the Company as well as related parties</w:t>
      </w:r>
    </w:p>
    <w:p>
      <w:pPr>
        <w:spacing w:after="0" w:line="1" w:lineRule="exact"/>
        <w:rPr>
          <w:sz w:val="20"/>
          <w:szCs w:val="20"/>
          <w:color w:val="auto"/>
        </w:rPr>
      </w:pPr>
    </w:p>
    <w:p>
      <w:pPr>
        <w:ind w:left="72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Our Compensation and Talent Committee is made up solely of independent directors and makes all 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decisions</w:t>
      </w:r>
    </w:p>
    <w:p>
      <w:pPr>
        <w:spacing w:after="0" w:line="1"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review our Compensation and Talent Committee charter on a regular basis</w:t>
      </w: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are not doing </w:t>
      </w:r>
      <w:r>
        <w:rPr>
          <w:sz w:val="1"/>
          <w:szCs w:val="1"/>
          <w:color w:val="auto"/>
        </w:rPr>
        <w:drawing>
          <wp:inline distT="0" distB="0" distL="0" distR="0">
            <wp:extent cx="14541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p>
    <w:p>
      <w:pPr>
        <w:spacing w:after="0" w:line="2" w:lineRule="exact"/>
        <w:rPr>
          <w:sz w:val="20"/>
          <w:szCs w:val="20"/>
          <w:color w:val="auto"/>
        </w:rPr>
      </w:pPr>
    </w:p>
    <w:p>
      <w:pPr>
        <w:ind w:left="360" w:right="4160"/>
        <w:spacing w:after="0" w:line="23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do not offer material tax gross-ups to any of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i w:val="1"/>
          <w:iCs w:val="1"/>
          <w:color w:val="auto"/>
        </w:rPr>
        <w:t>We do not pay dividends on unvested equity awards</w:t>
      </w:r>
    </w:p>
    <w:p>
      <w:pPr>
        <w:spacing w:after="0" w:line="1" w:lineRule="exact"/>
        <w:rPr>
          <w:sz w:val="20"/>
          <w:szCs w:val="20"/>
          <w:color w:val="auto"/>
        </w:rPr>
      </w:pPr>
    </w:p>
    <w:p>
      <w:pPr>
        <w:ind w:left="360" w:right="2200"/>
        <w:spacing w:after="0" w:line="26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do not offer special executive retirement plans to our named executive officers or other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i w:val="1"/>
          <w:iCs w:val="1"/>
          <w:color w:val="auto"/>
        </w:rPr>
        <w:t>We do not guarantee salary increases for our named executive officers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104" w:lineRule="exact"/>
        <w:rPr>
          <w:sz w:val="20"/>
          <w:szCs w:val="20"/>
          <w:color w:val="auto"/>
        </w:rPr>
      </w:pPr>
    </w:p>
    <w:p>
      <w:pPr>
        <w:jc w:val="both"/>
        <w:ind w:right="200" w:firstLine="440"/>
        <w:spacing w:after="0" w:line="275" w:lineRule="auto"/>
        <w:rPr>
          <w:sz w:val="20"/>
          <w:szCs w:val="20"/>
          <w:color w:val="auto"/>
        </w:rPr>
      </w:pPr>
      <w:r>
        <w:rPr>
          <w:rFonts w:ascii="Arial" w:cs="Arial" w:eastAsia="Arial" w:hAnsi="Arial"/>
          <w:sz w:val="17"/>
          <w:szCs w:val="17"/>
          <w:color w:val="auto"/>
        </w:rPr>
        <w:t>Our compensation philosophy is to provide programs that attract and retain the best available personnel for positions of substantial responsibility, provide incentives for such persons to perform to the best of their abilities, and promote the success of our business. The following table identifies the main elements of our executive compensation program and the reason we chose to provide each element: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Element of Compensation</w:t>
            </w:r>
          </w:p>
        </w:tc>
        <w:tc>
          <w:tcPr>
            <w:tcW w:w="6040" w:type="dxa"/>
            <w:vAlign w:val="bottom"/>
            <w:gridSpan w:val="3"/>
          </w:tcPr>
          <w:p>
            <w:pPr>
              <w:ind w:left="840"/>
              <w:spacing w:after="0"/>
              <w:rPr>
                <w:sz w:val="20"/>
                <w:szCs w:val="20"/>
                <w:color w:val="auto"/>
              </w:rPr>
            </w:pPr>
            <w:r>
              <w:rPr>
                <w:rFonts w:ascii="Arial" w:cs="Arial" w:eastAsia="Arial" w:hAnsi="Arial"/>
                <w:sz w:val="14"/>
                <w:szCs w:val="14"/>
                <w:b w:val="1"/>
                <w:bCs w:val="1"/>
                <w:color w:val="auto"/>
              </w:rPr>
              <w:t>Basis for Providing Element</w:t>
            </w:r>
          </w:p>
        </w:tc>
      </w:tr>
      <w:tr>
        <w:trPr>
          <w:trHeight w:val="171"/>
        </w:trPr>
        <w:tc>
          <w:tcPr>
            <w:tcW w:w="17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Base Salary</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To provide compensation to our named executive officers for</w:t>
            </w:r>
          </w:p>
        </w:tc>
        <w:tc>
          <w:tcPr>
            <w:tcW w:w="20" w:type="dxa"/>
            <w:vAlign w:val="bottom"/>
          </w:tcPr>
          <w:p>
            <w:pPr>
              <w:spacing w:after="0"/>
              <w:rPr>
                <w:sz w:val="14"/>
                <w:szCs w:val="14"/>
                <w:color w:val="auto"/>
              </w:rPr>
            </w:pP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services based on their experience and past performance</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Non-Equity Incentive Plan Compensation</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motivate and reward our named executive officers for</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focusing on company objectives that drive increased stockholder</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value</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align our named executive officers’ interests with the long-</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term interests of our stockholders and to promote the retention of</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our named executive officers</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Non-Cash and Non-Equity Benefits</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provide for the safety and wellness of our named executive</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officers</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Change in Control and Severance Payments and Benefits</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promote the retention of our named executive officers and, in</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the case of change in control benefits, incentivize them to</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identify and execute economic transactions for the benefit of our</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stockholders</w:t>
            </w:r>
          </w:p>
        </w:tc>
      </w:tr>
      <w:tr>
        <w:trPr>
          <w:trHeight w:val="351"/>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41"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B5107"/>
        </w:rPr>
        <w:t>Engagement Prior to Annual Meeting</w:t>
      </w:r>
    </w:p>
    <w:p>
      <w:pPr>
        <w:spacing w:after="0" w:line="14" w:lineRule="exact"/>
        <w:rPr>
          <w:sz w:val="20"/>
          <w:szCs w:val="20"/>
          <w:color w:val="auto"/>
        </w:rPr>
      </w:pPr>
    </w:p>
    <w:p>
      <w:pPr>
        <w:ind w:left="360"/>
        <w:spacing w:after="0"/>
        <w:rPr>
          <w:sz w:val="20"/>
          <w:szCs w:val="20"/>
          <w:color w:val="auto"/>
        </w:rPr>
      </w:pPr>
      <w:r>
        <w:rPr>
          <w:sz w:val="1"/>
          <w:szCs w:val="1"/>
          <w:color w:val="auto"/>
        </w:rPr>
        <w:drawing>
          <wp:inline distT="0" distB="0" distL="0" distR="0">
            <wp:extent cx="59690" cy="6858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7"/>
          <w:szCs w:val="17"/>
          <w:color w:val="auto"/>
        </w:rPr>
        <w:t xml:space="preserve">      Seek feedback on matters for stockholder</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consideration</w:t>
      </w:r>
    </w:p>
    <w:p>
      <w:pPr>
        <w:ind w:left="360"/>
        <w:spacing w:after="0"/>
        <w:rPr>
          <w:sz w:val="20"/>
          <w:szCs w:val="20"/>
          <w:color w:val="auto"/>
        </w:rPr>
      </w:pPr>
      <w:r>
        <w:rPr>
          <w:sz w:val="1"/>
          <w:szCs w:val="1"/>
          <w:color w:val="auto"/>
        </w:rPr>
        <w:drawing>
          <wp:inline distT="0" distB="0" distL="0" distR="0">
            <wp:extent cx="59690" cy="6858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7"/>
          <w:szCs w:val="17"/>
          <w:color w:val="auto"/>
        </w:rPr>
        <w:t xml:space="preserve">      Publish annual report and proxy statement,</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highlighting recent Board and Company</w:t>
      </w:r>
    </w:p>
    <w:p>
      <w:pPr>
        <w:ind w:left="720"/>
        <w:spacing w:after="0"/>
        <w:rPr>
          <w:sz w:val="20"/>
          <w:szCs w:val="20"/>
          <w:color w:val="auto"/>
        </w:rPr>
      </w:pPr>
      <w:r>
        <w:rPr>
          <w:rFonts w:ascii="Arial" w:cs="Arial" w:eastAsia="Arial" w:hAnsi="Arial"/>
          <w:sz w:val="18"/>
          <w:szCs w:val="18"/>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177800</wp:posOffset>
            </wp:positionV>
            <wp:extent cx="13716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color w:val="2B5107"/>
        </w:rPr>
        <w:t>Off-Season Engagement and Evaluation of Best Practices</w:t>
      </w:r>
    </w:p>
    <w:p>
      <w:pPr>
        <w:ind w:left="360"/>
        <w:spacing w:after="0" w:line="235" w:lineRule="auto"/>
        <w:rPr>
          <w:sz w:val="20"/>
          <w:szCs w:val="20"/>
          <w:color w:val="auto"/>
        </w:rPr>
      </w:pPr>
      <w:r>
        <w:rPr>
          <w:sz w:val="1"/>
          <w:szCs w:val="1"/>
          <w:color w:val="auto"/>
        </w:rPr>
        <w:drawing>
          <wp:inline distT="0" distB="0" distL="0" distR="0">
            <wp:extent cx="59690" cy="6858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8"/>
          <w:szCs w:val="18"/>
          <w:color w:val="auto"/>
        </w:rPr>
        <w:t xml:space="preserve">      Engage with stockholders and other</w:t>
      </w:r>
    </w:p>
    <w:p>
      <w:pPr>
        <w:ind w:left="720"/>
        <w:spacing w:after="0" w:line="235" w:lineRule="auto"/>
        <w:rPr>
          <w:sz w:val="20"/>
          <w:szCs w:val="20"/>
          <w:color w:val="auto"/>
        </w:rPr>
      </w:pPr>
      <w:r>
        <w:rPr>
          <w:rFonts w:ascii="Arial" w:cs="Arial" w:eastAsia="Arial" w:hAnsi="Arial"/>
          <w:sz w:val="18"/>
          <w:szCs w:val="18"/>
          <w:color w:val="auto"/>
        </w:rPr>
        <w:t>stakeholders to better understand their</w:t>
      </w:r>
    </w:p>
    <w:p>
      <w:pPr>
        <w:ind w:left="720"/>
        <w:spacing w:after="0" w:line="234" w:lineRule="auto"/>
        <w:rPr>
          <w:sz w:val="20"/>
          <w:szCs w:val="20"/>
          <w:color w:val="auto"/>
        </w:rPr>
      </w:pPr>
      <w:r>
        <w:rPr>
          <w:rFonts w:ascii="Arial" w:cs="Arial" w:eastAsia="Arial" w:hAnsi="Arial"/>
          <w:sz w:val="18"/>
          <w:szCs w:val="18"/>
          <w:color w:val="auto"/>
        </w:rPr>
        <w:t>viewpoints and inform discussions in the</w:t>
      </w:r>
    </w:p>
    <w:p>
      <w:pPr>
        <w:ind w:left="720"/>
        <w:spacing w:after="0" w:line="235" w:lineRule="auto"/>
        <w:rPr>
          <w:sz w:val="20"/>
          <w:szCs w:val="20"/>
          <w:color w:val="auto"/>
        </w:rPr>
      </w:pPr>
      <w:r>
        <w:rPr>
          <w:rFonts w:ascii="Arial" w:cs="Arial" w:eastAsia="Arial" w:hAnsi="Arial"/>
          <w:sz w:val="18"/>
          <w:szCs w:val="18"/>
          <w:color w:val="auto"/>
        </w:rPr>
        <w:t>boardroom</w:t>
      </w:r>
    </w:p>
    <w:p>
      <w:pPr>
        <w:ind w:left="360"/>
        <w:spacing w:after="0" w:line="235" w:lineRule="auto"/>
        <w:rPr>
          <w:sz w:val="20"/>
          <w:szCs w:val="20"/>
          <w:color w:val="auto"/>
        </w:rPr>
      </w:pPr>
      <w:r>
        <w:rPr>
          <w:sz w:val="1"/>
          <w:szCs w:val="1"/>
          <w:color w:val="auto"/>
        </w:rPr>
        <w:drawing>
          <wp:inline distT="0" distB="0" distL="0" distR="0">
            <wp:extent cx="59690" cy="6858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8"/>
          <w:szCs w:val="18"/>
          <w:color w:val="auto"/>
        </w:rPr>
        <w:t xml:space="preserve">      Evaluate potential changes to</w:t>
      </w:r>
    </w:p>
    <w:p>
      <w:pPr>
        <w:ind w:left="720"/>
        <w:spacing w:after="0" w:line="235" w:lineRule="auto"/>
        <w:rPr>
          <w:sz w:val="20"/>
          <w:szCs w:val="20"/>
          <w:color w:val="auto"/>
        </w:rPr>
      </w:pPr>
      <w:r>
        <w:rPr>
          <w:rFonts w:ascii="Arial" w:cs="Arial" w:eastAsia="Arial" w:hAnsi="Arial"/>
          <w:sz w:val="18"/>
          <w:szCs w:val="18"/>
          <w:color w:val="auto"/>
        </w:rPr>
        <w:t>environmental, social, governance and</w:t>
      </w:r>
    </w:p>
    <w:p>
      <w:pPr>
        <w:jc w:val="right"/>
        <w:ind w:right="600"/>
        <w:spacing w:after="0" w:line="235" w:lineRule="auto"/>
        <w:rPr>
          <w:sz w:val="20"/>
          <w:szCs w:val="20"/>
          <w:color w:val="auto"/>
        </w:rPr>
      </w:pPr>
      <w:r>
        <w:rPr>
          <w:rFonts w:ascii="Arial" w:cs="Arial" w:eastAsia="Arial" w:hAnsi="Arial"/>
          <w:sz w:val="18"/>
          <w:szCs w:val="18"/>
          <w:color w:val="auto"/>
        </w:rPr>
        <w:t>executive compensation practices in light of</w:t>
      </w:r>
    </w:p>
    <w:p>
      <w:pPr>
        <w:ind w:left="720"/>
        <w:spacing w:after="0" w:line="234" w:lineRule="auto"/>
        <w:rPr>
          <w:sz w:val="20"/>
          <w:szCs w:val="20"/>
          <w:color w:val="auto"/>
        </w:rPr>
      </w:pPr>
      <w:r>
        <w:rPr>
          <w:rFonts w:ascii="Arial" w:cs="Arial" w:eastAsia="Arial" w:hAnsi="Arial"/>
          <w:sz w:val="18"/>
          <w:szCs w:val="18"/>
          <w:color w:val="auto"/>
        </w:rPr>
        <w:t>stockholder feedback and review of</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B5107"/>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-495935</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60"/>
        <w:spacing w:after="0"/>
        <w:rPr>
          <w:sz w:val="20"/>
          <w:szCs w:val="20"/>
          <w:color w:val="auto"/>
        </w:rPr>
      </w:pPr>
      <w:r>
        <w:rPr>
          <w:sz w:val="1"/>
          <w:szCs w:val="1"/>
          <w:color w:val="auto"/>
        </w:rPr>
        <w:drawing>
          <wp:inline distT="0" distB="0" distL="0" distR="0">
            <wp:extent cx="60325" cy="6858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7"/>
          <w:szCs w:val="17"/>
          <w:color w:val="auto"/>
        </w:rPr>
        <w:t xml:space="preserve">      Provide environment for direct engagement among Board</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members, senior management, and stockholders</w:t>
      </w:r>
    </w:p>
    <w:p>
      <w:pPr>
        <w:ind w:left="360"/>
        <w:spacing w:after="0" w:line="234" w:lineRule="auto"/>
        <w:rPr>
          <w:sz w:val="20"/>
          <w:szCs w:val="20"/>
          <w:color w:val="auto"/>
        </w:rPr>
      </w:pPr>
      <w:r>
        <w:rPr>
          <w:sz w:val="1"/>
          <w:szCs w:val="1"/>
          <w:color w:val="auto"/>
        </w:rPr>
        <w:drawing>
          <wp:inline distT="0" distB="0" distL="0" distR="0">
            <wp:extent cx="60325" cy="6858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Opportunity for stockholders to ask questions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-66675</wp:posOffset>
            </wp:positionV>
            <wp:extent cx="55689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895" cy="137160"/>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Company</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Determine voting results for Company and stockholder</w:t>
      </w:r>
    </w:p>
    <w:p>
      <w:pPr>
        <w:ind w:left="720"/>
        <w:spacing w:after="0"/>
        <w:rPr>
          <w:sz w:val="20"/>
          <w:szCs w:val="20"/>
          <w:color w:val="auto"/>
        </w:rPr>
      </w:pPr>
      <w:r>
        <w:rPr>
          <w:rFonts w:ascii="Arial" w:cs="Arial" w:eastAsia="Arial" w:hAnsi="Arial"/>
          <w:sz w:val="18"/>
          <w:szCs w:val="18"/>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48895</wp:posOffset>
            </wp:positionV>
            <wp:extent cx="137160" cy="316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31686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2B5107"/>
        </w:rPr>
        <w:t>Post Annual Meeting</w:t>
      </w:r>
    </w:p>
    <w:p>
      <w:pPr>
        <w:spacing w:after="0" w:line="198" w:lineRule="exact"/>
        <w:rPr>
          <w:sz w:val="20"/>
          <w:szCs w:val="20"/>
          <w:color w:val="auto"/>
        </w:rPr>
      </w:pPr>
    </w:p>
    <w:p>
      <w:pPr>
        <w:ind w:left="360"/>
        <w:spacing w:after="0"/>
        <w:rPr>
          <w:sz w:val="20"/>
          <w:szCs w:val="20"/>
          <w:color w:val="auto"/>
        </w:rPr>
      </w:pPr>
      <w:r>
        <w:rPr>
          <w:sz w:val="1"/>
          <w:szCs w:val="1"/>
          <w:color w:val="auto"/>
        </w:rPr>
        <w:drawing>
          <wp:inline distT="0" distB="0" distL="0" distR="0">
            <wp:extent cx="60325" cy="6858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7"/>
          <w:szCs w:val="17"/>
          <w:color w:val="auto"/>
        </w:rPr>
        <w:t xml:space="preserve">      Discuss vote outcomes in light of existing practices, as well</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feedback received from stockholders during the proxy</w:t>
      </w:r>
    </w:p>
    <w:p>
      <w:pPr>
        <w:ind w:left="720"/>
        <w:spacing w:after="0" w:line="234" w:lineRule="auto"/>
        <w:rPr>
          <w:sz w:val="20"/>
          <w:szCs w:val="20"/>
          <w:color w:val="auto"/>
        </w:rPr>
      </w:pPr>
      <w:r>
        <w:rPr>
          <w:rFonts w:ascii="Arial" w:cs="Arial" w:eastAsia="Arial" w:hAnsi="Arial"/>
          <w:sz w:val="18"/>
          <w:szCs w:val="18"/>
          <w:color w:val="auto"/>
        </w:rPr>
        <w:t>season</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Review corporate governance trends, recent regulatory</w:t>
      </w:r>
    </w:p>
    <w:p>
      <w:pPr>
        <w:ind w:left="720"/>
        <w:spacing w:after="0" w:line="235" w:lineRule="auto"/>
        <w:rPr>
          <w:sz w:val="20"/>
          <w:szCs w:val="20"/>
          <w:color w:val="auto"/>
        </w:rPr>
      </w:pPr>
      <w:r>
        <w:rPr>
          <w:rFonts w:ascii="Arial" w:cs="Arial" w:eastAsia="Arial" w:hAnsi="Arial"/>
          <w:sz w:val="18"/>
          <w:szCs w:val="18"/>
          <w:color w:val="auto"/>
        </w:rPr>
        <w:t>developments and the Company’s own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-127000</wp:posOffset>
            </wp:positionV>
            <wp:extent cx="55753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30" cy="137160"/>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governance documents, policies and procedures</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Determine topics for discussion during off-season</w:t>
      </w:r>
    </w:p>
    <w:p>
      <w:pPr>
        <w:ind w:left="720"/>
        <w:spacing w:after="0"/>
        <w:rPr>
          <w:sz w:val="20"/>
          <w:szCs w:val="20"/>
          <w:color w:val="auto"/>
        </w:rPr>
      </w:pPr>
      <w:r>
        <w:rPr>
          <w:rFonts w:ascii="Arial" w:cs="Arial" w:eastAsia="Arial" w:hAnsi="Arial"/>
          <w:sz w:val="18"/>
          <w:szCs w:val="18"/>
          <w:color w:val="auto"/>
        </w:rPr>
        <w:t>stockholder engagement</w:t>
      </w:r>
    </w:p>
    <w:p>
      <w:pPr>
        <w:spacing w:after="0" w:line="402" w:lineRule="exact"/>
        <w:rPr>
          <w:sz w:val="20"/>
          <w:szCs w:val="20"/>
          <w:color w:val="auto"/>
        </w:rPr>
      </w:pPr>
    </w:p>
    <w:p>
      <w:pPr>
        <w:sectPr>
          <w:pgSz w:w="11900" w:h="16838" w:orient="portrait"/>
          <w:cols w:equalWidth="0" w:num="2">
            <w:col w:w="4780" w:space="720"/>
            <w:col w:w="5480"/>
          </w:cols>
          <w:pgMar w:left="440" w:top="269" w:right="47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Advisory Vote on Executive Compensation</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Our Compensation and Talent Committee considers the results of the annual stockholder advisory vote on the compensation of our named executive officers (“Say on Pay”) and stockholder feedback on our executive compensation program as part of its annual executive compensation review. In 2021, our “Say on Pay” proposal received 38% support, which was significantly below our expectations. As a result of this vote outcome and our continuing commitment to be responsive to our stockholders, the Compensation and Talent Committee and management embarked on an extensive stockholder outreach initiative and a comprehensive review of our executive compensation program.</w:t>
      </w:r>
    </w:p>
    <w:p>
      <w:pPr>
        <w:spacing w:after="0" w:line="179"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In addition to our ongoing dialogue with our stockholders on our strategy and value proposition, in 2021 we reached out to our top 50 stockholders (excluding the Philippe Courtot Family Trust) to discuss our executive compensation program, any concerns or questions they had on our 2020 executive compensation program, and other governance initiatives. These top 50 stockholders held approximately 69% of our outstanding stock as of December 31, 2021. Eight stockholders, representing approximately 24% of our outstanding stock as of December 31, 2021, accepted our invitation for engagement. These meetings were led by our Chair of the Board, Chair of the Compensation and Talent Committee and management team.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69" w:right="47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Our outreach included </w:t>
      </w:r>
      <w:r>
        <w:rPr>
          <w:rFonts w:ascii="Arial" w:cs="Arial" w:eastAsia="Arial" w:hAnsi="Arial"/>
          <w:sz w:val="18"/>
          <w:szCs w:val="18"/>
          <w:b w:val="1"/>
          <w:bCs w:val="1"/>
          <w:color w:val="60E205"/>
        </w:rPr>
        <w:t>our top 50 stockholders</w:t>
      </w:r>
      <w:r>
        <w:rPr>
          <w:rFonts w:ascii="Arial" w:cs="Arial" w:eastAsia="Arial" w:hAnsi="Arial"/>
          <w:sz w:val="18"/>
          <w:szCs w:val="18"/>
          <w:b w:val="1"/>
          <w:bCs w:val="1"/>
          <w:color w:val="auto"/>
        </w:rPr>
        <w:t xml:space="preserve"> (excluding the Philippe Courtot Family Trust)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who held </w:t>
      </w:r>
      <w:r>
        <w:rPr>
          <w:rFonts w:ascii="Arial" w:cs="Arial" w:eastAsia="Arial" w:hAnsi="Arial"/>
          <w:sz w:val="18"/>
          <w:szCs w:val="18"/>
          <w:b w:val="1"/>
          <w:bCs w:val="1"/>
          <w:color w:val="60E205"/>
        </w:rPr>
        <w:t>69%</w:t>
      </w:r>
      <w:r>
        <w:rPr>
          <w:rFonts w:ascii="Arial" w:cs="Arial" w:eastAsia="Arial" w:hAnsi="Arial"/>
          <w:sz w:val="18"/>
          <w:szCs w:val="18"/>
          <w:b w:val="1"/>
          <w:bCs w:val="1"/>
          <w:color w:val="auto"/>
        </w:rPr>
        <w:t xml:space="preserve"> of our outstanding stock as of December 31, 2021</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 Qualys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163195</wp:posOffset>
            </wp:positionV>
            <wp:extent cx="4526280" cy="2074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262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feedback we received from our stockholders during our 2021 outreach and the Board’s response.</w:t>
      </w:r>
    </w:p>
    <w:p>
      <w:pPr>
        <w:sectPr>
          <w:pgSz w:w="11900" w:h="16838" w:orient="portrait"/>
          <w:cols w:equalWidth="0" w:num="1">
            <w:col w:w="11000"/>
          </w:cols>
          <w:pgMar w:left="440" w:top="269" w:right="4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3"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Financial targets for performance-based equity awards and the short-term incentive plan should not have been adjusted down for the CEO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768985</wp:posOffset>
            </wp:positionV>
            <wp:extent cx="6995160" cy="454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CEO and Chairman roles should be separate.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for the new CEO should be performance-based.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2020, our Compensation and Talent Committee approved adjustments to financial targets for all employees and executives in light of the potential effects of the COVID-19 pandemic. We understand the stockholder sentiment and, following our discussions with our stockholders, our Compensation and Talent Committee does not intend to make any adjustments to named executive officers’ financial targets in the future unless deemed absolutely necessary, and then only with a consequent reduction in the associated pay opportunity.</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separated the roles. Ms. Bergeron was appointed to serve as the Chair of the Board starting in June 2021. Mr. Thakar was appointed to serve as CEO in April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50% of the intended target value of the awards granted to</w:t>
      </w:r>
    </w:p>
    <w:p>
      <w:pPr>
        <w:spacing w:after="0" w:line="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Mr. Thakar upon his appointment as our CEO were PRSUs. We intend to continue to utilize performance-based equity awards as part of the CEO’s compensation package.</w:t>
      </w:r>
    </w:p>
    <w:p>
      <w:pPr>
        <w:sectPr>
          <w:pgSz w:w="11900" w:h="16838" w:orient="portrait"/>
          <w:cols w:equalWidth="0" w:num="2">
            <w:col w:w="5600" w:space="240"/>
            <w:col w:w="5160"/>
          </w:cols>
          <w:pgMar w:left="440" w:top="269" w:right="45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9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What we heard from stockholders</w:t>
            </w:r>
          </w:p>
        </w:tc>
        <w:tc>
          <w:tcPr>
            <w:tcW w:w="2980" w:type="dxa"/>
            <w:vAlign w:val="bottom"/>
            <w:tcBorders>
              <w:bottom w:val="single" w:sz="8" w:color="E5E5E5"/>
            </w:tcBorders>
          </w:tcPr>
          <w:p>
            <w:pPr>
              <w:spacing w:after="0"/>
              <w:rPr>
                <w:sz w:val="16"/>
                <w:szCs w:val="16"/>
                <w:color w:val="auto"/>
              </w:rPr>
            </w:pPr>
          </w:p>
        </w:tc>
        <w:tc>
          <w:tcPr>
            <w:tcW w:w="32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What we did</w:t>
            </w:r>
          </w:p>
        </w:tc>
      </w:tr>
      <w:tr>
        <w:trPr>
          <w:trHeight w:val="265"/>
        </w:trPr>
        <w:tc>
          <w:tcPr>
            <w:tcW w:w="5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Performance-based equity awards should be introduced for other</w:t>
            </w:r>
          </w:p>
        </w:tc>
        <w:tc>
          <w:tcPr>
            <w:tcW w:w="320" w:type="dxa"/>
            <w:vAlign w:val="bottom"/>
            <w:shd w:val="clear" w:color="auto" w:fill="E5E5E5"/>
          </w:tcPr>
          <w:p>
            <w:pPr>
              <w:spacing w:after="0"/>
              <w:rPr>
                <w:sz w:val="23"/>
                <w:szCs w:val="23"/>
                <w:color w:val="auto"/>
              </w:rPr>
            </w:pPr>
          </w:p>
        </w:tc>
        <w:tc>
          <w:tcPr>
            <w:tcW w:w="540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For the first time, we introduced PRSUs for our non-CEO named</w:t>
            </w:r>
          </w:p>
        </w:tc>
      </w:tr>
      <w:tr>
        <w:trPr>
          <w:trHeight w:val="203"/>
        </w:trPr>
        <w:tc>
          <w:tcPr>
            <w:tcW w:w="530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executives.</w:t>
            </w: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executive officers, with approximately 30% of the intended target</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value of the awards granted to Ms. Kim and Messrs. Peters and</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Posey in 2021 allocated to PRSUs. We intend to continue to</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utilize performance-based equity awards as part of our non-CEO</w:t>
            </w:r>
          </w:p>
        </w:tc>
      </w:tr>
      <w:tr>
        <w:trPr>
          <w:trHeight w:val="221"/>
        </w:trPr>
        <w:tc>
          <w:tcPr>
            <w:tcW w:w="2320" w:type="dxa"/>
            <w:vAlign w:val="bottom"/>
            <w:shd w:val="clear" w:color="auto" w:fill="E5E5E5"/>
          </w:tcPr>
          <w:p>
            <w:pPr>
              <w:spacing w:after="0"/>
              <w:rPr>
                <w:sz w:val="19"/>
                <w:szCs w:val="19"/>
                <w:color w:val="auto"/>
              </w:rPr>
            </w:pPr>
          </w:p>
        </w:tc>
        <w:tc>
          <w:tcPr>
            <w:tcW w:w="29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540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named executive officers’ compensation package.</w:t>
            </w:r>
          </w:p>
        </w:tc>
      </w:tr>
      <w:tr>
        <w:trPr>
          <w:trHeight w:val="29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financial targets should continue to be used for</w:t>
            </w:r>
          </w:p>
        </w:tc>
        <w:tc>
          <w:tcPr>
            <w:tcW w:w="32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The PRSU awards granted to our named executive officers in</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performance-based equity grants.</w:t>
            </w: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October 2021 will vest annually over a three-year performance</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period based on the annual revenue growth rate and Adjusted</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EBITDA margin achievement for the applicable year, except that</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vesting and release of the PRSU awards is capped at 100% of</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target performance in each of the first two years of the</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performance period, with cumulative achievement over 100% to</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be vested and released at the end of the third year of the</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performance period, subject to continued service by the</w:t>
            </w:r>
          </w:p>
        </w:tc>
      </w:tr>
      <w:tr>
        <w:trPr>
          <w:trHeight w:val="239"/>
        </w:trPr>
        <w:tc>
          <w:tcPr>
            <w:tcW w:w="2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executive through the date that performance is certified.</w:t>
            </w:r>
          </w:p>
        </w:tc>
      </w:tr>
      <w:tr>
        <w:trPr>
          <w:trHeight w:val="288"/>
        </w:trPr>
        <w:tc>
          <w:tcPr>
            <w:tcW w:w="2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Our Compensation and Talent Committee determined that this</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was the most appropriate approach to align the interests of our</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stockholders and company objectives and drive increased</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stockholder value given the challenges of setting three-year</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financial growth targets at this time due to volatility in business</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and market conditions, including the possibility of a tax reform</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that could have had a meaningful impact on our free cash flow.</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Because we do not anticipate making any modifications to</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financial targets mid-cycle per stockholder feedback, our</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Compensation and Talent Committee believed that this was the</w:t>
            </w:r>
          </w:p>
        </w:tc>
      </w:tr>
      <w:tr>
        <w:trPr>
          <w:trHeight w:val="203"/>
        </w:trPr>
        <w:tc>
          <w:tcPr>
            <w:tcW w:w="2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most appropriate design for our named executive officers’ 2021</w:t>
            </w:r>
          </w:p>
        </w:tc>
      </w:tr>
      <w:tr>
        <w:trPr>
          <w:trHeight w:val="235"/>
        </w:trPr>
        <w:tc>
          <w:tcPr>
            <w:tcW w:w="2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PRSU awards.</w:t>
            </w:r>
          </w:p>
        </w:tc>
      </w:tr>
      <w:tr>
        <w:trPr>
          <w:trHeight w:val="292"/>
        </w:trPr>
        <w:tc>
          <w:tcPr>
            <w:tcW w:w="5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Excess cash on the balance sheet should be used to repurchase</w:t>
            </w:r>
          </w:p>
        </w:tc>
        <w:tc>
          <w:tcPr>
            <w:tcW w:w="320" w:type="dxa"/>
            <w:vAlign w:val="bottom"/>
            <w:shd w:val="clear" w:color="auto" w:fill="E5E5E5"/>
          </w:tcPr>
          <w:p>
            <w:pPr>
              <w:spacing w:after="0"/>
              <w:rPr>
                <w:sz w:val="24"/>
                <w:szCs w:val="24"/>
                <w:color w:val="auto"/>
              </w:rPr>
            </w:pPr>
          </w:p>
        </w:tc>
        <w:tc>
          <w:tcPr>
            <w:tcW w:w="540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In October 2021, we announced a $200 million increase to our</w:t>
            </w:r>
          </w:p>
        </w:tc>
      </w:tr>
      <w:tr>
        <w:trPr>
          <w:trHeight w:val="203"/>
        </w:trPr>
        <w:tc>
          <w:tcPr>
            <w:tcW w:w="530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additional shares.</w:t>
            </w: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share repurchase program. In 2021, we repurchased</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$130 million of our shares, and we will continue to evaluate our</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share repurchase program and make changes to support</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increased stockholder value. The 2021 increase in our share</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repurchase program was considered when calculating</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non-GAAP earnings per diluted share for the purpose of</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determining our named executive officers’ actual awards under</w:t>
            </w:r>
          </w:p>
        </w:tc>
      </w:tr>
      <w:tr>
        <w:trPr>
          <w:trHeight w:val="203"/>
        </w:trPr>
        <w:tc>
          <w:tcPr>
            <w:tcW w:w="23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our 2021 Cash Bonus Plan to ensure that the higher repurchase</w:t>
            </w:r>
          </w:p>
        </w:tc>
      </w:tr>
      <w:tr>
        <w:trPr>
          <w:trHeight w:val="221"/>
        </w:trPr>
        <w:tc>
          <w:tcPr>
            <w:tcW w:w="2320" w:type="dxa"/>
            <w:vAlign w:val="bottom"/>
            <w:shd w:val="clear" w:color="auto" w:fill="E5E5E5"/>
          </w:tcPr>
          <w:p>
            <w:pPr>
              <w:spacing w:after="0"/>
              <w:rPr>
                <w:sz w:val="19"/>
                <w:szCs w:val="19"/>
                <w:color w:val="auto"/>
              </w:rPr>
            </w:pPr>
          </w:p>
        </w:tc>
        <w:tc>
          <w:tcPr>
            <w:tcW w:w="29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540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amount alone did not increase the amount of such awards.</w:t>
            </w:r>
          </w:p>
        </w:tc>
      </w:tr>
      <w:tr>
        <w:trPr>
          <w:trHeight w:val="368"/>
        </w:trPr>
        <w:tc>
          <w:tcPr>
            <w:tcW w:w="2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Compensation-Setting Process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Compensation and Talent Committee</w:t>
      </w:r>
    </w:p>
    <w:p>
      <w:pPr>
        <w:spacing w:after="0" w:line="102"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Our Compensation and Talent Committee operates under a written charter adopted by the committee and approved by our board of directors. The charter is available on our website. Each member of our Compensation and Talent Committee qualifies as (i) an “independent director” under the Nasdaq Stock Market requirements, and (ii) a “non-employee director” under Rule 16b-3 of the Exchange Act.</w:t>
      </w:r>
    </w:p>
    <w:p>
      <w:pPr>
        <w:spacing w:after="0" w:line="174"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Our Compensation and Talent Committee oversees our overall compensation philosophy, compensation plans, and benefits programs. Our Compensation and Talent Committee is responsible for reviewing, approving, and administering our annual and long-term incentive compensation plans and our employee benefit plans and for administering our equity incentive plans.</w:t>
      </w:r>
    </w:p>
    <w:p>
      <w:pPr>
        <w:spacing w:after="0" w:line="169" w:lineRule="exact"/>
        <w:rPr>
          <w:sz w:val="20"/>
          <w:szCs w:val="20"/>
          <w:color w:val="auto"/>
        </w:rPr>
      </w:pPr>
    </w:p>
    <w:p>
      <w:pPr>
        <w:ind w:right="140" w:firstLine="440"/>
        <w:spacing w:after="0" w:line="242" w:lineRule="auto"/>
        <w:rPr>
          <w:sz w:val="20"/>
          <w:szCs w:val="20"/>
          <w:color w:val="auto"/>
        </w:rPr>
      </w:pPr>
      <w:r>
        <w:rPr>
          <w:rFonts w:ascii="Arial" w:cs="Arial" w:eastAsia="Arial" w:hAnsi="Arial"/>
          <w:sz w:val="18"/>
          <w:szCs w:val="18"/>
          <w:color w:val="auto"/>
        </w:rPr>
        <w:t>To this end, our Compensation and Talent Committee establishes the performance objectives and certifies the performance achievement under our annual and long-term incentive compensation plans and approves the grant of equity awards under our equity incentive plans. Our Compensation and Talent Committee also reviews on a periodic basis the operations of our executive compensation program to determine whether they are properly coordinated and achieving their intended purposes. If our Compensation and Talent Committee determines that any aspect of our executive compensation program yields payments and benefits that are not reasonably related to executive and corporate performance, the committee may take steps to modify the program.</w:t>
      </w:r>
    </w:p>
    <w:p>
      <w:pPr>
        <w:spacing w:after="0" w:line="179" w:lineRule="exact"/>
        <w:rPr>
          <w:sz w:val="20"/>
          <w:szCs w:val="20"/>
          <w:color w:val="auto"/>
        </w:rPr>
      </w:pPr>
    </w:p>
    <w:p>
      <w:pPr>
        <w:ind w:right="80" w:firstLine="440"/>
        <w:spacing w:after="0" w:line="247" w:lineRule="auto"/>
        <w:rPr>
          <w:sz w:val="20"/>
          <w:szCs w:val="20"/>
          <w:color w:val="auto"/>
        </w:rPr>
      </w:pPr>
      <w:r>
        <w:rPr>
          <w:rFonts w:ascii="Arial" w:cs="Arial" w:eastAsia="Arial" w:hAnsi="Arial"/>
          <w:sz w:val="18"/>
          <w:szCs w:val="18"/>
          <w:color w:val="auto"/>
        </w:rPr>
        <w:t>Our Compensation and Talent Committee has authority to engage independent outside consultants and obtain input from our management team, other employees, and external advisers. In 2021, our Compensation and Talent Committee engaged Mercer (US) Inc. (“Mercer”), a third-party compensation consultant, to assist us with respect to the compensation of our executive team, including our named executive officers.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02"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In 2021, Mercer provided data on the compensation provided to executives in our compensation peer group and the market in general. The compensation peer group is selected on the basis of relevant industry, size, location and comparability of the business. This data was considered by our Compensation and Talent Committee in setting executive compensation in 2021. This process involved Mercer analyzing, reviewing and making recommendations to our Compensation and Talent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Mercer also provided support in refining our compensation program to respond to the feedback we received from our stockholders in 2021. In 2021, Mercer did not provide any services to us or receive any payments from us, except in its capacity as a consultant to our Compensation and Talent Committee. Based on the consideration of the various factors as set forth in the rules of the SEC and the Nasdaq Stock Market, our Compensation and Talent Committee believes that its relationship with Mercer and the work of Mercer on behalf of the committee has not raised any conflicts of interest.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0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During 2021, Ms. Kim, Mr. Posey, and Rima Touma Bruno, our Chief Human Resources Officer, typically attended our Compensation and Talent Committee’s meetings. Our Compensation and Talent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69" w:right="459" w:bottom="1440" w:gutter="0" w:footer="0" w:header="0"/>
        </w:sectPr>
      </w:pPr>
    </w:p>
    <w:bookmarkStart w:id="47" w:name="page48"/>
    <w:bookmarkEnd w:id="47"/>
    <w:p>
      <w:pPr>
        <w:ind w:right="3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may invite to its meetings any other person that it deems appropriate. No named executive officer attends the portions of a meeting during which decisions regarding his or her compensation are made.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104" w:lineRule="exact"/>
        <w:rPr>
          <w:sz w:val="20"/>
          <w:szCs w:val="20"/>
          <w:color w:val="auto"/>
        </w:rPr>
      </w:pPr>
    </w:p>
    <w:p>
      <w:pPr>
        <w:ind w:right="220" w:firstLine="440"/>
        <w:spacing w:after="0" w:line="253" w:lineRule="auto"/>
        <w:rPr>
          <w:sz w:val="20"/>
          <w:szCs w:val="20"/>
          <w:color w:val="auto"/>
        </w:rPr>
      </w:pPr>
      <w:r>
        <w:rPr>
          <w:rFonts w:ascii="Arial" w:cs="Arial" w:eastAsia="Arial" w:hAnsi="Arial"/>
          <w:sz w:val="18"/>
          <w:szCs w:val="18"/>
          <w:color w:val="auto"/>
        </w:rPr>
        <w:t>On an annual basis, our Compensation and Talent Committee approves a list of peer companies for the committee to use in conducting a competitive market analysis of executive officer compensation. To represent the market in which we compete for talent, we consider four primary company characteristics in determining the peer group each year:</w:t>
      </w:r>
    </w:p>
    <w:p>
      <w:pPr>
        <w:spacing w:after="0" w:line="74"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 and market capitalization.</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Software, Internet Services &amp; Infrastructure, and Technology Hardware &amp; Equipment GICS sub-industry.</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Primarily companies in Northern California.</w:t>
      </w:r>
    </w:p>
    <w:p>
      <w:pPr>
        <w:spacing w:after="0" w:line="212"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In April 2021, with the assistance of Mercer, our Compensation and Talent Committee reviewed our compensation peer group based on our peer group selection criteria. Peer group philosophy and selection criteria was established in 2019 and the same approach was followed in 2020 and 2021. Over 80 companies were analyzed and considered for inclusion based on a mix of qualitative (e.g., competitors in the cybersecurity industry or SaaS peers) and quantitative criteria (e.g., market cap, revenue), as well as an objective, scorecard-based approach. Our Compensation and Talent Committee decided that no changes would be made to our compensation peer group, except for the removal of LogMeIn, Inc. (since it was no longer a public company). The following is a list of the public companies that our Compensation and Talent Committee used to set cash and equity compensation beginning in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8DC3FF"/>
          </w:tcPr>
          <w:p>
            <w:pPr>
              <w:spacing w:after="0"/>
              <w:rPr>
                <w:sz w:val="18"/>
                <w:szCs w:val="18"/>
                <w:color w:val="auto"/>
              </w:rPr>
            </w:pPr>
          </w:p>
        </w:tc>
        <w:tc>
          <w:tcPr>
            <w:tcW w:w="4000" w:type="dxa"/>
            <w:vAlign w:val="bottom"/>
            <w:shd w:val="clear" w:color="auto" w:fill="8DC3FF"/>
          </w:tcPr>
          <w:p>
            <w:pPr>
              <w:ind w:left="1500"/>
              <w:spacing w:after="0"/>
              <w:rPr>
                <w:sz w:val="20"/>
                <w:szCs w:val="20"/>
                <w:color w:val="auto"/>
              </w:rPr>
            </w:pPr>
            <w:r>
              <w:rPr>
                <w:rFonts w:ascii="Arial" w:cs="Arial" w:eastAsia="Arial" w:hAnsi="Arial"/>
                <w:sz w:val="14"/>
                <w:szCs w:val="14"/>
                <w:b w:val="1"/>
                <w:bCs w:val="1"/>
                <w:color w:val="FFFFFF"/>
              </w:rPr>
              <w:t>Compensation Peer Group</w:t>
            </w:r>
          </w:p>
        </w:tc>
        <w:tc>
          <w:tcPr>
            <w:tcW w:w="3920" w:type="dxa"/>
            <w:vAlign w:val="bottom"/>
            <w:shd w:val="clear" w:color="auto" w:fill="8DC3FF"/>
          </w:tcPr>
          <w:p>
            <w:pPr>
              <w:spacing w:after="0"/>
              <w:rPr>
                <w:sz w:val="18"/>
                <w:szCs w:val="18"/>
                <w:color w:val="auto"/>
              </w:rPr>
            </w:pPr>
          </w:p>
        </w:tc>
      </w:tr>
      <w:tr>
        <w:trPr>
          <w:trHeight w:val="184"/>
        </w:trPr>
        <w:tc>
          <w:tcPr>
            <w:tcW w:w="3100" w:type="dxa"/>
            <w:vAlign w:val="bottom"/>
          </w:tcPr>
          <w:p>
            <w:pPr>
              <w:spacing w:after="0" w:line="183" w:lineRule="exact"/>
              <w:rPr>
                <w:sz w:val="20"/>
                <w:szCs w:val="20"/>
                <w:color w:val="auto"/>
              </w:rPr>
            </w:pPr>
            <w:r>
              <w:rPr>
                <w:rFonts w:ascii="Arial" w:cs="Arial" w:eastAsia="Arial" w:hAnsi="Arial"/>
                <w:sz w:val="18"/>
                <w:szCs w:val="18"/>
                <w:color w:val="auto"/>
              </w:rPr>
              <w:t>AppFolio, Inc.</w:t>
            </w:r>
          </w:p>
        </w:tc>
        <w:tc>
          <w:tcPr>
            <w:tcW w:w="4000" w:type="dxa"/>
            <w:vAlign w:val="bottom"/>
          </w:tcPr>
          <w:p>
            <w:pPr>
              <w:ind w:left="1000"/>
              <w:spacing w:after="0" w:line="183" w:lineRule="exact"/>
              <w:rPr>
                <w:sz w:val="20"/>
                <w:szCs w:val="20"/>
                <w:color w:val="auto"/>
              </w:rPr>
            </w:pPr>
            <w:r>
              <w:rPr>
                <w:rFonts w:ascii="Arial" w:cs="Arial" w:eastAsia="Arial" w:hAnsi="Arial"/>
                <w:sz w:val="18"/>
                <w:szCs w:val="18"/>
                <w:color w:val="auto"/>
              </w:rPr>
              <w:t>New Relic</w:t>
            </w:r>
          </w:p>
        </w:tc>
        <w:tc>
          <w:tcPr>
            <w:tcW w:w="3920" w:type="dxa"/>
            <w:vAlign w:val="bottom"/>
          </w:tcPr>
          <w:p>
            <w:pPr>
              <w:ind w:left="680"/>
              <w:spacing w:after="0" w:line="183" w:lineRule="exact"/>
              <w:rPr>
                <w:sz w:val="20"/>
                <w:szCs w:val="20"/>
                <w:color w:val="auto"/>
              </w:rPr>
            </w:pPr>
            <w:r>
              <w:rPr>
                <w:rFonts w:ascii="Arial" w:cs="Arial" w:eastAsia="Arial" w:hAnsi="Arial"/>
                <w:sz w:val="18"/>
                <w:szCs w:val="18"/>
                <w:color w:val="auto"/>
              </w:rPr>
              <w:t>Splunk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CrowdStrike Holdings, Inc.</w:t>
            </w:r>
          </w:p>
        </w:tc>
        <w:tc>
          <w:tcPr>
            <w:tcW w:w="4000" w:type="dxa"/>
            <w:vAlign w:val="bottom"/>
          </w:tcPr>
          <w:p>
            <w:pPr>
              <w:ind w:left="1000"/>
              <w:spacing w:after="0" w:line="202" w:lineRule="exact"/>
              <w:rPr>
                <w:sz w:val="20"/>
                <w:szCs w:val="20"/>
                <w:color w:val="auto"/>
              </w:rPr>
            </w:pPr>
            <w:r>
              <w:rPr>
                <w:rFonts w:ascii="Arial" w:cs="Arial" w:eastAsia="Arial" w:hAnsi="Arial"/>
                <w:sz w:val="18"/>
                <w:szCs w:val="18"/>
                <w:color w:val="auto"/>
              </w:rPr>
              <w:t>Palo Alto Networks,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000" w:type="dxa"/>
            <w:vAlign w:val="bottom"/>
          </w:tcPr>
          <w:p>
            <w:pPr>
              <w:ind w:left="1000"/>
              <w:spacing w:after="0" w:line="202" w:lineRule="exact"/>
              <w:rPr>
                <w:sz w:val="20"/>
                <w:szCs w:val="20"/>
                <w:color w:val="auto"/>
              </w:rPr>
            </w:pPr>
            <w:r>
              <w:rPr>
                <w:rFonts w:ascii="Arial" w:cs="Arial" w:eastAsia="Arial" w:hAnsi="Arial"/>
                <w:sz w:val="18"/>
                <w:szCs w:val="18"/>
                <w:color w:val="auto"/>
              </w:rPr>
              <w:t>Proofpoint,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Tenable Holdings,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000" w:type="dxa"/>
            <w:vAlign w:val="bottom"/>
          </w:tcPr>
          <w:p>
            <w:pPr>
              <w:ind w:left="1000"/>
              <w:spacing w:after="0" w:line="202" w:lineRule="exact"/>
              <w:rPr>
                <w:sz w:val="20"/>
                <w:szCs w:val="20"/>
                <w:color w:val="auto"/>
              </w:rPr>
            </w:pPr>
            <w:r>
              <w:rPr>
                <w:rFonts w:ascii="Arial" w:cs="Arial" w:eastAsia="Arial" w:hAnsi="Arial"/>
                <w:sz w:val="18"/>
                <w:szCs w:val="18"/>
                <w:color w:val="auto"/>
              </w:rPr>
              <w:t>Q2 Holdings,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Varonis Systems, Inc.</w:t>
            </w:r>
          </w:p>
        </w:tc>
      </w:tr>
      <w:tr>
        <w:trPr>
          <w:trHeight w:val="239"/>
        </w:trPr>
        <w:tc>
          <w:tcPr>
            <w:tcW w:w="3100" w:type="dxa"/>
            <w:vAlign w:val="bottom"/>
          </w:tcPr>
          <w:p>
            <w:pPr>
              <w:spacing w:after="0"/>
              <w:rPr>
                <w:sz w:val="20"/>
                <w:szCs w:val="20"/>
                <w:color w:val="auto"/>
              </w:rPr>
            </w:pPr>
            <w:r>
              <w:rPr>
                <w:rFonts w:ascii="Arial" w:cs="Arial" w:eastAsia="Arial" w:hAnsi="Arial"/>
                <w:sz w:val="18"/>
                <w:szCs w:val="18"/>
                <w:color w:val="auto"/>
              </w:rPr>
              <w:t>HubSpot, Inc.</w:t>
            </w:r>
          </w:p>
        </w:tc>
        <w:tc>
          <w:tcPr>
            <w:tcW w:w="4000" w:type="dxa"/>
            <w:vAlign w:val="bottom"/>
          </w:tcPr>
          <w:p>
            <w:pPr>
              <w:ind w:left="1000"/>
              <w:spacing w:after="0"/>
              <w:rPr>
                <w:sz w:val="20"/>
                <w:szCs w:val="20"/>
                <w:color w:val="auto"/>
              </w:rPr>
            </w:pPr>
            <w:r>
              <w:rPr>
                <w:rFonts w:ascii="Arial" w:cs="Arial" w:eastAsia="Arial" w:hAnsi="Arial"/>
                <w:sz w:val="18"/>
                <w:szCs w:val="18"/>
                <w:color w:val="auto"/>
              </w:rPr>
              <w:t>Rapid7, Inc.</w:t>
            </w:r>
          </w:p>
        </w:tc>
        <w:tc>
          <w:tcPr>
            <w:tcW w:w="3920" w:type="dxa"/>
            <w:vAlign w:val="bottom"/>
          </w:tcPr>
          <w:p>
            <w:pPr>
              <w:ind w:left="680"/>
              <w:spacing w:after="0"/>
              <w:rPr>
                <w:sz w:val="20"/>
                <w:szCs w:val="20"/>
                <w:color w:val="auto"/>
              </w:rPr>
            </w:pPr>
            <w:r>
              <w:rPr>
                <w:rFonts w:ascii="Arial" w:cs="Arial" w:eastAsia="Arial" w:hAnsi="Arial"/>
                <w:sz w:val="18"/>
                <w:szCs w:val="18"/>
                <w:color w:val="auto"/>
              </w:rPr>
              <w:t>Zendesk, Inc.</w:t>
            </w: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Peer Data</w:t>
      </w:r>
    </w:p>
    <w:p>
      <w:pPr>
        <w:spacing w:after="0" w:line="10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Compensation and Talent Committee uses the compensation peer group and market data provided by Mercer (including custom cuts of survey data from Radford) to obtain a general understanding of compensation practices within our compensation peer group and the market in general. In setting the various elements of compensation for the named executive officers, our Compensation and Talent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6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Mix</w:t>
      </w:r>
    </w:p>
    <w:p>
      <w:pPr>
        <w:spacing w:after="0" w:line="104" w:lineRule="exact"/>
        <w:rPr>
          <w:sz w:val="20"/>
          <w:szCs w:val="20"/>
          <w:color w:val="auto"/>
        </w:rPr>
      </w:pPr>
    </w:p>
    <w:p>
      <w:pPr>
        <w:ind w:right="40" w:firstLine="440"/>
        <w:spacing w:after="0" w:line="244" w:lineRule="auto"/>
        <w:rPr>
          <w:sz w:val="20"/>
          <w:szCs w:val="20"/>
          <w:color w:val="auto"/>
        </w:rPr>
      </w:pPr>
      <w:r>
        <w:rPr>
          <w:rFonts w:ascii="Arial" w:cs="Arial" w:eastAsia="Arial" w:hAnsi="Arial"/>
          <w:sz w:val="18"/>
          <w:szCs w:val="18"/>
          <w:color w:val="auto"/>
        </w:rPr>
        <w:t>As shown in the charts below, a significant portion of the target total direct compensation for the named executive officers is performance-based compensation (50% for the CEO, Mr. Thakar, and 31% for Ms. Kim and Mr. Posey, who were the only other named executive officers employed by us for all of 2021). For the chart showing the target total direct compensation of Ms. Kim and Mr. Posey, each figure was separately calculated for each named executive officer, and the percentages shown in the chart represent the average of the figures for the two named executive officers.</w:t>
      </w:r>
    </w:p>
    <w:p>
      <w:pPr>
        <w:sectPr>
          <w:pgSz w:w="11900" w:h="16838" w:orient="portrait"/>
          <w:cols w:equalWidth="0" w:num="1">
            <w:col w:w="10940"/>
          </w:cols>
          <w:pgMar w:left="440" w:top="269" w:right="519" w:bottom="1440" w:gutter="0" w:footer="0" w:header="0"/>
        </w:sectPr>
      </w:pPr>
    </w:p>
    <w:p>
      <w:pPr>
        <w:spacing w:after="0" w:line="203"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29BFF"/>
        </w:rPr>
        <w:t>CEO</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29BFF"/>
        </w:rPr>
        <w:t>2021 TARGET</w:t>
      </w:r>
    </w:p>
    <w:p>
      <w:pPr>
        <w:jc w:val="center"/>
        <w:ind w:left="80"/>
        <w:spacing w:after="0"/>
        <w:rPr>
          <w:sz w:val="20"/>
          <w:szCs w:val="20"/>
          <w:color w:val="auto"/>
        </w:rPr>
      </w:pPr>
      <w:r>
        <w:rPr>
          <w:rFonts w:ascii="Arial" w:cs="Arial" w:eastAsia="Arial" w:hAnsi="Arial"/>
          <w:sz w:val="17"/>
          <w:szCs w:val="17"/>
          <w:b w:val="1"/>
          <w:bCs w:val="1"/>
          <w:color w:val="429BFF"/>
        </w:rPr>
        <w:t>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176530</wp:posOffset>
            </wp:positionV>
            <wp:extent cx="2280285" cy="1997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80285" cy="1997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429BFF"/>
        </w:rPr>
        <w:t>MS. KIM AND MR. POSEY AVERAGE 2021 TARGET</w:t>
      </w:r>
    </w:p>
    <w:p>
      <w:pPr>
        <w:spacing w:after="0" w:line="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429BFF"/>
        </w:rPr>
        <w:t>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186055</wp:posOffset>
            </wp:positionV>
            <wp:extent cx="2280285" cy="1979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0285" cy="1979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680"/>
          </w:cols>
          <w:pgMar w:left="440" w:top="26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10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2021.</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Base Salary</w:t>
      </w:r>
    </w:p>
    <w:p>
      <w:pPr>
        <w:spacing w:after="0" w:line="102"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arm’s-length negotiation. Our Compensation and Talent Committee typically reviews and considers adjustments to our named executive officers’ base salaries on an annual basis. When doing so, our Compensation and Talent Committee considers factors such as the named executive officer’s experience, skills, knowledge, responsibilities, and performance and the prevailing market conditions.</w:t>
      </w:r>
    </w:p>
    <w:p>
      <w:pPr>
        <w:spacing w:after="0" w:line="179" w:lineRule="exact"/>
        <w:rPr>
          <w:sz w:val="20"/>
          <w:szCs w:val="20"/>
          <w:color w:val="auto"/>
        </w:rPr>
      </w:pPr>
    </w:p>
    <w:p>
      <w:pPr>
        <w:ind w:right="460" w:firstLine="440"/>
        <w:spacing w:after="0" w:line="253" w:lineRule="auto"/>
        <w:rPr>
          <w:sz w:val="20"/>
          <w:szCs w:val="20"/>
          <w:color w:val="auto"/>
        </w:rPr>
      </w:pPr>
      <w:r>
        <w:rPr>
          <w:rFonts w:ascii="Arial" w:cs="Arial" w:eastAsia="Arial" w:hAnsi="Arial"/>
          <w:sz w:val="18"/>
          <w:szCs w:val="18"/>
          <w:color w:val="auto"/>
        </w:rPr>
        <w:t>Our Compensation and Talent Committee reviewed our executive compensation program, including base salary for our named executive officers. The committee evaluated the peer group compensation data provided by Mercer and determined, based on its judgment, that we were providing</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440" w:top="269" w:right="519" w:bottom="1440" w:gutter="0" w:footer="0" w:header="0"/>
          <w:type w:val="continuous"/>
        </w:sectPr>
      </w:pPr>
    </w:p>
    <w:bookmarkStart w:id="49" w:name="page50"/>
    <w:bookmarkEnd w:id="49"/>
    <w:p>
      <w:pPr>
        <w:ind w:righ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target compensation below current market compensation. In connection with Mr. Thakar’s promotion to CEO, the Compensation and Talent Committee recommended, and our board of directors approved, an increase to his base salary, effective as of April 27, 2021. In addition, the Compensation and Talent Committee recommended, and our board of directors approved, increases to the base salaries of Ms. Kim and Mr. Posey, effective as of November 1, 2021. These increases were made based on our review of market data from our compensation peer group. In addition to the market data, the Compensation and Talent Committee also considered each executive’s performance and contributions in deciding to improve the competitiveness of their base salaries with the base salaries of comparable executives in the market. Each named executive officer’s base salary during 2021 is listed in the table below.</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600" w:type="dxa"/>
            <w:vAlign w:val="bottom"/>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Base Salary</w:t>
            </w:r>
          </w:p>
        </w:tc>
        <w:tc>
          <w:tcPr>
            <w:tcW w:w="40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3600" w:type="dxa"/>
            <w:vAlign w:val="bottom"/>
          </w:tcPr>
          <w:p>
            <w:pPr>
              <w:spacing w:after="0"/>
              <w:rPr>
                <w:sz w:val="15"/>
                <w:szCs w:val="15"/>
                <w:color w:val="auto"/>
              </w:rPr>
            </w:pPr>
          </w:p>
        </w:tc>
        <w:tc>
          <w:tcPr>
            <w:tcW w:w="15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at Start of 2021</w:t>
            </w:r>
          </w:p>
        </w:tc>
        <w:tc>
          <w:tcPr>
            <w:tcW w:w="400" w:type="dxa"/>
            <w:vAlign w:val="bottom"/>
          </w:tcPr>
          <w:p>
            <w:pPr>
              <w:spacing w:after="0"/>
              <w:rPr>
                <w:sz w:val="15"/>
                <w:szCs w:val="15"/>
                <w:color w:val="auto"/>
              </w:rPr>
            </w:pPr>
          </w:p>
        </w:tc>
        <w:tc>
          <w:tcPr>
            <w:tcW w:w="10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at End of 2021*</w:t>
            </w:r>
          </w:p>
        </w:tc>
        <w:tc>
          <w:tcPr>
            <w:tcW w:w="0" w:type="dxa"/>
            <w:vAlign w:val="bottom"/>
          </w:tcPr>
          <w:p>
            <w:pPr>
              <w:spacing w:after="0"/>
              <w:rPr>
                <w:sz w:val="1"/>
                <w:szCs w:val="1"/>
                <w:color w:val="auto"/>
              </w:rPr>
            </w:pPr>
          </w:p>
        </w:tc>
      </w:tr>
      <w:tr>
        <w:trPr>
          <w:trHeight w:val="189"/>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3600" w:type="dxa"/>
            <w:vAlign w:val="bottom"/>
            <w:tcBorders>
              <w:top w:val="single" w:sz="8" w:color="E5E5E5"/>
            </w:tcBorders>
            <w:shd w:val="clear" w:color="auto" w:fill="E5E5E5"/>
          </w:tcPr>
          <w:p>
            <w:pPr>
              <w:spacing w:after="0"/>
              <w:rPr>
                <w:sz w:val="16"/>
                <w:szCs w:val="16"/>
                <w:color w:val="auto"/>
              </w:rPr>
            </w:pPr>
          </w:p>
        </w:tc>
        <w:tc>
          <w:tcPr>
            <w:tcW w:w="10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400,000</w:t>
            </w:r>
          </w:p>
        </w:tc>
        <w:tc>
          <w:tcPr>
            <w:tcW w:w="540" w:type="dxa"/>
            <w:vAlign w:val="bottom"/>
            <w:tcBorders>
              <w:top w:val="single" w:sz="8" w:color="E5E5E5"/>
            </w:tcBorders>
            <w:shd w:val="clear" w:color="auto" w:fill="E5E5E5"/>
          </w:tcPr>
          <w:p>
            <w:pPr>
              <w:spacing w:after="0"/>
              <w:rPr>
                <w:sz w:val="16"/>
                <w:szCs w:val="16"/>
                <w:color w:val="auto"/>
              </w:rPr>
            </w:pPr>
          </w:p>
        </w:tc>
        <w:tc>
          <w:tcPr>
            <w:tcW w:w="400" w:type="dxa"/>
            <w:vAlign w:val="bottom"/>
            <w:tcBorders>
              <w:top w:val="single" w:sz="8" w:color="E5E5E5"/>
            </w:tcBorders>
            <w:shd w:val="clear" w:color="auto" w:fill="E5E5E5"/>
          </w:tcPr>
          <w:p>
            <w:pPr>
              <w:spacing w:after="0"/>
              <w:rPr>
                <w:sz w:val="16"/>
                <w:szCs w:val="16"/>
                <w:color w:val="auto"/>
              </w:rPr>
            </w:pPr>
          </w:p>
        </w:tc>
        <w:tc>
          <w:tcPr>
            <w:tcW w:w="10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550,000</w:t>
            </w:r>
          </w:p>
        </w:tc>
        <w:tc>
          <w:tcPr>
            <w:tcW w:w="4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Philippe F. Courtot</w:t>
            </w:r>
          </w:p>
        </w:tc>
        <w:tc>
          <w:tcPr>
            <w:tcW w:w="51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450,000</w:t>
            </w:r>
          </w:p>
        </w:tc>
        <w:tc>
          <w:tcPr>
            <w:tcW w:w="4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Joo Mi Kim</w:t>
            </w:r>
          </w:p>
        </w:tc>
        <w:tc>
          <w:tcPr>
            <w:tcW w:w="5180" w:type="dxa"/>
            <w:vAlign w:val="bottom"/>
            <w:gridSpan w:val="3"/>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340,000</w:t>
            </w:r>
          </w:p>
        </w:tc>
        <w:tc>
          <w:tcPr>
            <w:tcW w:w="148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Allan Peters</w:t>
            </w:r>
          </w:p>
        </w:tc>
        <w:tc>
          <w:tcPr>
            <w:tcW w:w="51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325,000**</w:t>
            </w:r>
          </w:p>
        </w:tc>
        <w:tc>
          <w:tcPr>
            <w:tcW w:w="1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Bruce K. Posey</w:t>
            </w:r>
          </w:p>
        </w:tc>
        <w:tc>
          <w:tcPr>
            <w:tcW w:w="5180" w:type="dxa"/>
            <w:vAlign w:val="bottom"/>
            <w:gridSpan w:val="3"/>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330,000</w:t>
            </w:r>
          </w:p>
        </w:tc>
        <w:tc>
          <w:tcPr>
            <w:tcW w:w="148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93980</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740" w:hanging="435"/>
        <w:spacing w:after="0" w:line="256" w:lineRule="auto"/>
        <w:tabs>
          <w:tab w:leader="none" w:pos="1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base salary increase for Mr. Thakar was effective April 27, 2021. The base salary increases for Ms. Kim and Mr. Posey were effective November 1, 2021.</w:t>
      </w:r>
    </w:p>
    <w:p>
      <w:pPr>
        <w:spacing w:after="0" w:line="1" w:lineRule="exact"/>
        <w:rPr>
          <w:sz w:val="20"/>
          <w:szCs w:val="20"/>
          <w:color w:val="auto"/>
        </w:rPr>
      </w:pPr>
    </w:p>
    <w:p>
      <w:pPr>
        <w:ind w:left="1740" w:hanging="435"/>
        <w:spacing w:after="0"/>
        <w:tabs>
          <w:tab w:leader="none" w:pos="1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Mr. Peters’ base salary at the commencement of his employment with us on May 10, 2021.</w:t>
      </w:r>
    </w:p>
    <w:p>
      <w:pPr>
        <w:spacing w:after="0" w:line="200" w:lineRule="exact"/>
        <w:rPr>
          <w:sz w:val="20"/>
          <w:szCs w:val="20"/>
          <w:color w:val="auto"/>
        </w:rPr>
      </w:pPr>
    </w:p>
    <w:p>
      <w:pPr>
        <w:ind w:right="680" w:firstLine="440"/>
        <w:spacing w:after="0" w:line="271" w:lineRule="auto"/>
        <w:rPr>
          <w:sz w:val="20"/>
          <w:szCs w:val="20"/>
          <w:color w:val="auto"/>
        </w:rPr>
      </w:pPr>
      <w:r>
        <w:rPr>
          <w:rFonts w:ascii="Arial" w:cs="Arial" w:eastAsia="Arial" w:hAnsi="Arial"/>
          <w:sz w:val="18"/>
          <w:szCs w:val="18"/>
          <w:color w:val="auto"/>
        </w:rPr>
        <w:t>The total base salaries paid to our named executive officers during 2021 are set forth in the section entitled “</w:t>
      </w:r>
      <w:r>
        <w:rPr>
          <w:rFonts w:ascii="Arial" w:cs="Arial" w:eastAsia="Arial" w:hAnsi="Arial"/>
          <w:sz w:val="18"/>
          <w:szCs w:val="18"/>
          <w:i w:val="1"/>
          <w:iCs w:val="1"/>
          <w:color w:val="auto"/>
        </w:rPr>
        <w:t>2021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2021 Corporate Bonus Plan</w:t>
      </w:r>
    </w:p>
    <w:p>
      <w:pPr>
        <w:spacing w:after="0" w:line="102"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and Talent Committee selects challenging goals that are achievable only by strong performance.</w:t>
      </w:r>
    </w:p>
    <w:p>
      <w:pPr>
        <w:spacing w:after="0" w:line="17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Except for Mr. Peters (who participated in our Sales Incentive Compensation Plan described below, in light of his position as our Chief Revenue Officer), our named executive officers participated in our 2021 Corporate Bonus Plan, which provided them with an opportunity to receive formula-based incentive amounts on a quarterly basis. Our Compensation and Talent Committee decided this was the most appropriate measure of time to determine achievement of short-term goals because it aligns with the time periods for which we give external guidance. These named executive officers’ target bonus opportunities under the 2021 Corporate Bonus Plan are expressed as a percentage of each named executive officer’s base salary as of the last day of the applicable quarter. In connection with Mr. Thakar’s promotion to CEO, the Compensation and Talent Committee recommended, and our board of directors approved, an increase to his percentage (from 50% to 100%), effective as of January 1, 2021. For the other named executive officers, their percentages remained unchanged from 2020.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40" w:top="269" w:right="519" w:bottom="1440" w:gutter="0" w:footer="0" w:header="0"/>
        </w:sectPr>
      </w:pPr>
    </w:p>
    <w:bookmarkStart w:id="50" w:name="page51"/>
    <w:bookmarkEnd w:id="50"/>
    <w:p>
      <w:pPr>
        <w:ind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target bonus opportunity of each named executive officer that participated in the 2021 Corporate Bonus Plan is listed in the table below and represents the maximum amount that the named executive officer can receive under the 2021 Corporate Bonus Plan.</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8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Bonus for</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5560" w:type="dxa"/>
            <w:vAlign w:val="bottom"/>
            <w:gridSpan w:val="2"/>
          </w:tcPr>
          <w:p>
            <w:pPr>
              <w:jc w:val="center"/>
              <w:ind w:left="4755"/>
              <w:spacing w:after="0" w:line="158"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E5E5E5"/>
          </w:tcPr>
          <w:p>
            <w:pPr>
              <w:spacing w:after="0"/>
              <w:rPr>
                <w:sz w:val="20"/>
                <w:szCs w:val="20"/>
                <w:color w:val="auto"/>
              </w:rPr>
            </w:pPr>
            <w:r>
              <w:rPr>
                <w:rFonts w:ascii="Arial" w:cs="Arial" w:eastAsia="Arial" w:hAnsi="Arial"/>
                <w:sz w:val="18"/>
                <w:szCs w:val="18"/>
                <w:color w:val="auto"/>
              </w:rPr>
              <w:t>Sumedh S. Thakar</w:t>
            </w:r>
          </w:p>
        </w:tc>
        <w:tc>
          <w:tcPr>
            <w:tcW w:w="4860" w:type="dxa"/>
            <w:vAlign w:val="bottom"/>
            <w:vMerge w:val="restart"/>
            <w:shd w:val="clear" w:color="auto" w:fill="E5E5E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vMerge w:val="continue"/>
            <w:shd w:val="clear" w:color="auto" w:fill="E5E5E5"/>
          </w:tcPr>
          <w:p>
            <w:pPr>
              <w:spacing w:after="0"/>
              <w:rPr>
                <w:sz w:val="16"/>
                <w:szCs w:val="16"/>
                <w:color w:val="auto"/>
              </w:rPr>
            </w:pPr>
          </w:p>
        </w:tc>
        <w:tc>
          <w:tcPr>
            <w:tcW w:w="4860" w:type="dxa"/>
            <w:vAlign w:val="bottom"/>
            <w:vMerge w:val="continue"/>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Philippe F. Courtot</w:t>
            </w:r>
          </w:p>
        </w:tc>
        <w:tc>
          <w:tcPr>
            <w:tcW w:w="5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Joo Mi Kim</w:t>
            </w:r>
          </w:p>
        </w:tc>
        <w:tc>
          <w:tcPr>
            <w:tcW w:w="578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Bruce K. Posey</w:t>
            </w:r>
          </w:p>
        </w:tc>
        <w:tc>
          <w:tcPr>
            <w:tcW w:w="57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For 2021, the performance metrics used to determine bonuses continued to be (i) growth in our bookings for the applicable quarter over the same quarter of the prior year, (ii) growth in revenue from the same quarter in 2020 and (iii) non-GAAP earnings per diluted share, with all three metrics weighted equally. Our Compensation and Talent Committee selected these three metrics, which measure sales growth and profitability, as the corporate performance metrics that best supported our annual operating plan and enhance long-term value creation.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three metrics were calculated as follows:</w:t>
      </w:r>
    </w:p>
    <w:p>
      <w:pPr>
        <w:spacing w:after="0" w:line="117" w:lineRule="exact"/>
        <w:rPr>
          <w:sz w:val="20"/>
          <w:szCs w:val="20"/>
          <w:color w:val="auto"/>
        </w:rPr>
      </w:pPr>
    </w:p>
    <w:p>
      <w:pPr>
        <w:ind w:left="960" w:right="60" w:hanging="424"/>
        <w:spacing w:after="0" w:line="24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79"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was determined in accordance with GAAP and set forth in our quarterly and annual financial statements.</w:t>
      </w:r>
    </w:p>
    <w:p>
      <w:pPr>
        <w:spacing w:after="0" w:line="117" w:lineRule="exact"/>
        <w:rPr>
          <w:rFonts w:ascii="Arial" w:cs="Arial" w:eastAsia="Arial" w:hAnsi="Arial"/>
          <w:sz w:val="18"/>
          <w:szCs w:val="18"/>
          <w:color w:val="auto"/>
        </w:rPr>
      </w:pPr>
    </w:p>
    <w:p>
      <w:pPr>
        <w:ind w:left="960" w:right="10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Non-GAAP earnings per diluted share measure was calculated as GAAP net income adjusted for (i) stock-based compensation expense, (ii) amortization of acquired technology, (iii) non-recurring charges such as acquisition related expenses, (iv) bonus expense recorded during the period and (v) the related income tax effects of these adjustments, divided by weighted average shares (diluted) for the applicable quarter. The repurchase of shares under our share repurchase program was considered when calculating non-GAAP earnings per diluted share to avoid any unintended increase in the amount of actual awards under our 2021 Cash Bonus Plan. Appendix B contains a reconciliation of this non-GAAP financial measure to its most directly comparable GAAP measure.</w:t>
      </w:r>
    </w:p>
    <w:p>
      <w:pPr>
        <w:spacing w:after="0" w:line="185"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and Talent Committee’s forecasts. The Compensation and Talent Committee made no adjustments to these metrics in 2021.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69" w:right="459" w:bottom="1440" w:gutter="0" w:footer="0" w:header="0"/>
        </w:sectPr>
      </w:pPr>
    </w:p>
    <w:bookmarkStart w:id="51" w:name="page52"/>
    <w:bookmarkEnd w:id="5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target award amounts for our named executive officers (other than Mr. Peters) in each quarter of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EAEAEA"/>
        </w:rPr>
        <w:t>2021 Corporate Bonus Plan Target Awards</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0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Q1</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Q3</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4020" w:type="dxa"/>
            <w:vAlign w:val="bottom"/>
          </w:tcPr>
          <w:p>
            <w:pPr>
              <w:spacing w:after="0"/>
              <w:rPr>
                <w:sz w:val="15"/>
                <w:szCs w:val="15"/>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Target*</w:t>
            </w:r>
          </w:p>
        </w:tc>
        <w:tc>
          <w:tcPr>
            <w:tcW w:w="9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Target</w:t>
            </w:r>
          </w:p>
        </w:tc>
        <w:tc>
          <w:tcPr>
            <w:tcW w:w="11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Target**</w:t>
            </w:r>
          </w:p>
        </w:tc>
        <w:tc>
          <w:tcPr>
            <w:tcW w:w="9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9"/>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402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$ 100,000</w:t>
            </w:r>
          </w:p>
        </w:tc>
        <w:tc>
          <w:tcPr>
            <w:tcW w:w="28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14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26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$ 137,500</w:t>
            </w:r>
          </w:p>
        </w:tc>
        <w:tc>
          <w:tcPr>
            <w:tcW w:w="28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$ 512,500</w:t>
            </w:r>
          </w:p>
        </w:tc>
        <w:tc>
          <w:tcPr>
            <w:tcW w:w="8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Philippe F. Courtot</w:t>
            </w:r>
          </w:p>
        </w:tc>
        <w:tc>
          <w:tcPr>
            <w:tcW w:w="5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112,500</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112,500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Joo Mi Kim</w:t>
            </w:r>
          </w:p>
        </w:tc>
        <w:tc>
          <w:tcPr>
            <w:tcW w:w="510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42,500</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42,500</w:t>
            </w:r>
          </w:p>
        </w:tc>
        <w:tc>
          <w:tcPr>
            <w:tcW w:w="122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42,500</w:t>
            </w:r>
          </w:p>
        </w:tc>
        <w:tc>
          <w:tcPr>
            <w:tcW w:w="11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51,250</w:t>
            </w:r>
          </w:p>
        </w:tc>
        <w:tc>
          <w:tcPr>
            <w:tcW w:w="9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178,750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Bruce K. Posey</w:t>
            </w:r>
          </w:p>
        </w:tc>
        <w:tc>
          <w:tcPr>
            <w:tcW w:w="5100" w:type="dxa"/>
            <w:vAlign w:val="bottom"/>
            <w:gridSpan w:val="3"/>
          </w:tcPr>
          <w:p>
            <w:pPr>
              <w:jc w:val="right"/>
              <w:ind w:right="260"/>
              <w:spacing w:after="0"/>
              <w:rPr>
                <w:sz w:val="20"/>
                <w:szCs w:val="20"/>
                <w:color w:val="auto"/>
              </w:rPr>
            </w:pPr>
            <w:r>
              <w:rPr>
                <w:rFonts w:ascii="Arial" w:cs="Arial" w:eastAsia="Arial" w:hAnsi="Arial"/>
                <w:sz w:val="18"/>
                <w:szCs w:val="18"/>
                <w:color w:val="auto"/>
              </w:rPr>
              <w:t>41,250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41,250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41,250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right="200" w:hanging="424"/>
        <w:spacing w:after="0" w:line="256" w:lineRule="auto"/>
        <w:tabs>
          <w:tab w:leader="none" w:pos="424"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Thakar’s Q1 target is lower than the targets for the last three quarters because it reflects his base salary prior to the increase approved by our board of directors effective April 27, 2021.</w:t>
      </w:r>
    </w:p>
    <w:p>
      <w:pPr>
        <w:spacing w:after="0" w:line="1" w:lineRule="exact"/>
        <w:rPr>
          <w:sz w:val="20"/>
          <w:szCs w:val="20"/>
          <w:color w:val="auto"/>
        </w:rPr>
      </w:pPr>
    </w:p>
    <w:p>
      <w:pPr>
        <w:ind w:left="424" w:right="540" w:hanging="424"/>
        <w:spacing w:after="0" w:line="265" w:lineRule="auto"/>
        <w:tabs>
          <w:tab w:leader="none" w:pos="4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Ms. Kim and Mr. Posey, their Q4 targets are higher than their targets for the earlier quarters because it reflects the base salary increases approved by our board of directors effective November 1, 2021.</w:t>
      </w:r>
    </w:p>
    <w:p>
      <w:pPr>
        <w:spacing w:after="0" w:line="167" w:lineRule="exact"/>
        <w:rPr>
          <w:sz w:val="20"/>
          <w:szCs w:val="20"/>
          <w:color w:val="auto"/>
        </w:rPr>
      </w:pPr>
    </w:p>
    <w:p>
      <w:pPr>
        <w:ind w:left="4" w:right="160" w:firstLine="440"/>
        <w:spacing w:after="0" w:line="253" w:lineRule="auto"/>
        <w:rPr>
          <w:sz w:val="20"/>
          <w:szCs w:val="20"/>
          <w:color w:val="auto"/>
        </w:rPr>
      </w:pPr>
      <w:r>
        <w:rPr>
          <w:rFonts w:ascii="Arial" w:cs="Arial" w:eastAsia="Arial" w:hAnsi="Arial"/>
          <w:sz w:val="18"/>
          <w:szCs w:val="18"/>
          <w:color w:val="auto"/>
        </w:rPr>
        <w:t>Each named executive officer’s bonus is paid as a percentage of his or her target incentive amount based on the weighted average of the payout percentages for each applicable measure. To be eligible for a quarterly bonus payment under our 2021 Corporate Bonus Plan, an individual must be employed as of the last day of the quarter.</w:t>
      </w:r>
    </w:p>
    <w:p>
      <w:pPr>
        <w:spacing w:after="0" w:line="169" w:lineRule="exact"/>
        <w:rPr>
          <w:sz w:val="20"/>
          <w:szCs w:val="20"/>
          <w:color w:val="auto"/>
        </w:rPr>
      </w:pPr>
    </w:p>
    <w:p>
      <w:pPr>
        <w:ind w:left="4" w:right="60" w:firstLine="440"/>
        <w:spacing w:after="0" w:line="253" w:lineRule="auto"/>
        <w:rPr>
          <w:sz w:val="20"/>
          <w:szCs w:val="20"/>
          <w:color w:val="auto"/>
        </w:rPr>
      </w:pPr>
      <w:r>
        <w:rPr>
          <w:rFonts w:ascii="Arial" w:cs="Arial" w:eastAsia="Arial" w:hAnsi="Arial"/>
          <w:sz w:val="18"/>
          <w:szCs w:val="18"/>
          <w:color w:val="auto"/>
        </w:rPr>
        <w:t>For each of the three equally-weighted measures, the payout percentage was capped at target (100%). Our Compensation and Talent Committee believed that achieving the top end of the targets would be sufficiently challenging and incentivize top-end performance. Payout could be zero if performance is below minimum levels for all three measures.</w:t>
      </w:r>
    </w:p>
    <w:p>
      <w:pPr>
        <w:spacing w:after="0" w:line="169"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8"/>
          <w:szCs w:val="18"/>
          <w:color w:val="auto"/>
        </w:rPr>
        <w:t>The following table shows the level of achievement of each quarterly performance target under our 2021 Corporate Bonus Plan and the corresponding payout for each of these quarterly performance targets: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Q2</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Q3</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Q4</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8"/>
              </w:rPr>
              <w:t>Payout</w:t>
            </w:r>
          </w:p>
        </w:tc>
        <w:tc>
          <w:tcPr>
            <w:tcW w:w="2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Target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8"/>
              </w:rPr>
              <w:t>Target</w:t>
            </w:r>
          </w:p>
        </w:tc>
        <w:tc>
          <w:tcPr>
            <w:tcW w:w="10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300" w:type="dxa"/>
            <w:vAlign w:val="bottom"/>
          </w:tcPr>
          <w:p>
            <w:pPr>
              <w:spacing w:after="0"/>
              <w:rPr>
                <w:sz w:val="13"/>
                <w:szCs w:val="13"/>
                <w:color w:val="auto"/>
              </w:rPr>
            </w:pPr>
          </w:p>
        </w:tc>
        <w:tc>
          <w:tcPr>
            <w:tcW w:w="7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Bookings Growth</w:t>
            </w:r>
          </w:p>
        </w:tc>
        <w:tc>
          <w:tcPr>
            <w:tcW w:w="480" w:type="dxa"/>
            <w:vAlign w:val="bottom"/>
            <w:vMerge w:val="restart"/>
            <w:shd w:val="clear" w:color="auto" w:fill="E5E5E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10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40" w:type="dxa"/>
            <w:vAlign w:val="bottom"/>
            <w:vMerge w:val="continue"/>
            <w:shd w:val="clear" w:color="auto" w:fill="E5E5E5"/>
          </w:tcPr>
          <w:p>
            <w:pPr>
              <w:spacing w:after="0"/>
              <w:rPr>
                <w:sz w:val="13"/>
                <w:szCs w:val="13"/>
                <w:color w:val="auto"/>
              </w:rPr>
            </w:pPr>
          </w:p>
        </w:tc>
        <w:tc>
          <w:tcPr>
            <w:tcW w:w="480" w:type="dxa"/>
            <w:vAlign w:val="bottom"/>
            <w:vMerge w:val="continue"/>
            <w:shd w:val="clear" w:color="auto" w:fill="E5E5E5"/>
          </w:tcPr>
          <w:p>
            <w:pPr>
              <w:spacing w:after="0"/>
              <w:rPr>
                <w:sz w:val="13"/>
                <w:szCs w:val="13"/>
                <w:color w:val="auto"/>
              </w:rPr>
            </w:pPr>
          </w:p>
        </w:tc>
        <w:tc>
          <w:tcPr>
            <w:tcW w:w="64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8.8%</w:t>
            </w:r>
          </w:p>
        </w:tc>
        <w:tc>
          <w:tcPr>
            <w:tcW w:w="80" w:type="dxa"/>
            <w:vAlign w:val="bottom"/>
            <w:vMerge w:val="continue"/>
            <w:shd w:val="clear" w:color="auto" w:fill="E5E5E5"/>
          </w:tcPr>
          <w:p>
            <w:pPr>
              <w:spacing w:after="0"/>
              <w:rPr>
                <w:sz w:val="13"/>
                <w:szCs w:val="13"/>
                <w:color w:val="auto"/>
              </w:rPr>
            </w:pP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8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74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16.3%</w:t>
            </w: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0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shd w:val="clear" w:color="auto" w:fill="E5E5E5"/>
          </w:tcPr>
          <w:p>
            <w:pPr>
              <w:spacing w:after="0"/>
              <w:rPr>
                <w:sz w:val="13"/>
                <w:szCs w:val="13"/>
                <w:color w:val="auto"/>
              </w:rPr>
            </w:pPr>
          </w:p>
        </w:tc>
        <w:tc>
          <w:tcPr>
            <w:tcW w:w="64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12.5%</w:t>
            </w:r>
          </w:p>
        </w:tc>
        <w:tc>
          <w:tcPr>
            <w:tcW w:w="100" w:type="dxa"/>
            <w:vAlign w:val="bottom"/>
            <w:vMerge w:val="continue"/>
            <w:shd w:val="clear" w:color="auto" w:fill="E5E5E5"/>
          </w:tcPr>
          <w:p>
            <w:pPr>
              <w:spacing w:after="0"/>
              <w:rPr>
                <w:sz w:val="13"/>
                <w:szCs w:val="13"/>
                <w:color w:val="auto"/>
              </w:rPr>
            </w:pP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8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13.3%</w:t>
            </w:r>
          </w:p>
        </w:tc>
        <w:tc>
          <w:tcPr>
            <w:tcW w:w="46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660" w:type="dxa"/>
            <w:vAlign w:val="bottom"/>
            <w:gridSpan w:val="2"/>
            <w:shd w:val="clear" w:color="auto" w:fill="E5E5E5"/>
          </w:tcPr>
          <w:p>
            <w:pPr>
              <w:jc w:val="right"/>
              <w:ind w:right="6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4"/>
                <w:szCs w:val="14"/>
                <w:color w:val="auto"/>
              </w:rPr>
              <w:t>Rev Growth**</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10.3%</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12.2%</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10.7%</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11.0%</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12.7%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11.4%</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1640" w:type="dxa"/>
            <w:vAlign w:val="bottom"/>
            <w:shd w:val="clear" w:color="auto" w:fill="E5E5E5"/>
          </w:tcPr>
          <w:p>
            <w:pPr>
              <w:spacing w:after="0"/>
              <w:rPr>
                <w:sz w:val="20"/>
                <w:szCs w:val="20"/>
                <w:color w:val="auto"/>
              </w:rPr>
            </w:pPr>
            <w:r>
              <w:rPr>
                <w:rFonts w:ascii="Arial" w:cs="Arial" w:eastAsia="Arial" w:hAnsi="Arial"/>
                <w:sz w:val="14"/>
                <w:szCs w:val="14"/>
                <w:color w:val="auto"/>
              </w:rPr>
              <w:t>Non-GAAP EPS**</w:t>
            </w:r>
          </w:p>
        </w:tc>
        <w:tc>
          <w:tcPr>
            <w:tcW w:w="1120" w:type="dxa"/>
            <w:vAlign w:val="bottom"/>
            <w:gridSpan w:val="3"/>
            <w:shd w:val="clear" w:color="auto" w:fill="E5E5E5"/>
          </w:tcPr>
          <w:p>
            <w:pPr>
              <w:jc w:val="right"/>
              <w:ind w:right="220"/>
              <w:spacing w:after="0"/>
              <w:rPr>
                <w:sz w:val="20"/>
                <w:szCs w:val="20"/>
                <w:color w:val="auto"/>
              </w:rPr>
            </w:pPr>
            <w:r>
              <w:rPr>
                <w:rFonts w:ascii="Arial" w:cs="Arial" w:eastAsia="Arial" w:hAnsi="Arial"/>
                <w:sz w:val="14"/>
                <w:szCs w:val="14"/>
                <w:color w:val="auto"/>
              </w:rPr>
              <w:t>$ 0.71</w:t>
            </w:r>
          </w:p>
        </w:tc>
        <w:tc>
          <w:tcPr>
            <w:tcW w:w="820" w:type="dxa"/>
            <w:vAlign w:val="bottom"/>
            <w:gridSpan w:val="3"/>
            <w:shd w:val="clear" w:color="auto" w:fill="E5E5E5"/>
          </w:tcPr>
          <w:p>
            <w:pPr>
              <w:jc w:val="right"/>
              <w:ind w:right="280"/>
              <w:spacing w:after="0"/>
              <w:rPr>
                <w:sz w:val="20"/>
                <w:szCs w:val="20"/>
                <w:color w:val="auto"/>
              </w:rPr>
            </w:pPr>
            <w:r>
              <w:rPr>
                <w:rFonts w:ascii="Arial" w:cs="Arial" w:eastAsia="Arial" w:hAnsi="Arial"/>
                <w:sz w:val="14"/>
                <w:szCs w:val="14"/>
                <w:color w:val="auto"/>
              </w:rPr>
              <w:t>$ 0.74</w:t>
            </w:r>
          </w:p>
        </w:tc>
        <w:tc>
          <w:tcPr>
            <w:tcW w:w="7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100%</w:t>
            </w:r>
          </w:p>
        </w:tc>
        <w:tc>
          <w:tcPr>
            <w:tcW w:w="7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$ 0.65</w:t>
            </w:r>
          </w:p>
        </w:tc>
        <w:tc>
          <w:tcPr>
            <w:tcW w:w="7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$ 0.79</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100%</w:t>
            </w:r>
          </w:p>
        </w:tc>
        <w:tc>
          <w:tcPr>
            <w:tcW w:w="720" w:type="dxa"/>
            <w:vAlign w:val="bottom"/>
            <w:gridSpan w:val="3"/>
            <w:shd w:val="clear" w:color="auto" w:fill="E5E5E5"/>
          </w:tcPr>
          <w:p>
            <w:pPr>
              <w:jc w:val="right"/>
              <w:ind w:right="200"/>
              <w:spacing w:after="0"/>
              <w:rPr>
                <w:sz w:val="20"/>
                <w:szCs w:val="20"/>
                <w:color w:val="auto"/>
              </w:rPr>
            </w:pPr>
            <w:r>
              <w:rPr>
                <w:rFonts w:ascii="Arial" w:cs="Arial" w:eastAsia="Arial" w:hAnsi="Arial"/>
                <w:sz w:val="14"/>
                <w:szCs w:val="14"/>
                <w:color w:val="auto"/>
              </w:rPr>
              <w:t>$ 0.68</w:t>
            </w:r>
          </w:p>
        </w:tc>
        <w:tc>
          <w:tcPr>
            <w:tcW w:w="840" w:type="dxa"/>
            <w:vAlign w:val="bottom"/>
            <w:gridSpan w:val="3"/>
            <w:shd w:val="clear" w:color="auto" w:fill="E5E5E5"/>
          </w:tcPr>
          <w:p>
            <w:pPr>
              <w:jc w:val="right"/>
              <w:ind w:right="300"/>
              <w:spacing w:after="0"/>
              <w:rPr>
                <w:sz w:val="20"/>
                <w:szCs w:val="20"/>
                <w:color w:val="auto"/>
              </w:rPr>
            </w:pPr>
            <w:r>
              <w:rPr>
                <w:rFonts w:ascii="Arial" w:cs="Arial" w:eastAsia="Arial" w:hAnsi="Arial"/>
                <w:sz w:val="14"/>
                <w:szCs w:val="14"/>
                <w:color w:val="auto"/>
              </w:rPr>
              <w:t>$ 0.86</w:t>
            </w:r>
          </w:p>
        </w:tc>
        <w:tc>
          <w:tcPr>
            <w:tcW w:w="7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100%</w:t>
            </w:r>
          </w:p>
        </w:tc>
        <w:tc>
          <w:tcPr>
            <w:tcW w:w="72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$ 0.62</w:t>
            </w:r>
          </w:p>
        </w:tc>
        <w:tc>
          <w:tcPr>
            <w:tcW w:w="76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$ 0.84</w:t>
            </w:r>
          </w:p>
        </w:tc>
        <w:tc>
          <w:tcPr>
            <w:tcW w:w="66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20"/>
                <w:szCs w:val="20"/>
                <w:color w:val="auto"/>
              </w:rPr>
            </w:pPr>
            <w:r>
              <w:rPr>
                <w:rFonts w:ascii="Arial" w:cs="Arial" w:eastAsia="Arial" w:hAnsi="Arial"/>
                <w:sz w:val="14"/>
                <w:szCs w:val="14"/>
                <w:color w:val="auto"/>
              </w:rPr>
              <w:t>Weighted Payout</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424" w:right="180" w:hanging="424"/>
        <w:spacing w:after="0" w:line="256"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w:t>
      </w:r>
    </w:p>
    <w:p>
      <w:pPr>
        <w:spacing w:after="0" w:line="1" w:lineRule="exact"/>
        <w:rPr>
          <w:sz w:val="20"/>
          <w:szCs w:val="20"/>
          <w:color w:val="auto"/>
        </w:rPr>
      </w:pPr>
    </w:p>
    <w:p>
      <w:pPr>
        <w:ind w:left="424"/>
        <w:spacing w:after="0"/>
        <w:rPr>
          <w:sz w:val="20"/>
          <w:szCs w:val="20"/>
          <w:color w:val="auto"/>
        </w:rPr>
      </w:pPr>
      <w:r>
        <w:rPr>
          <w:rFonts w:ascii="Arial" w:cs="Arial" w:eastAsia="Arial" w:hAnsi="Arial"/>
          <w:sz w:val="16"/>
          <w:szCs w:val="16"/>
          <w:color w:val="auto"/>
        </w:rPr>
        <w:t>competitors with insights into our operations and sales compensation programs that would be harmful to us.</w:t>
      </w:r>
    </w:p>
    <w:p>
      <w:pPr>
        <w:spacing w:after="0" w:line="5" w:lineRule="exact"/>
        <w:rPr>
          <w:sz w:val="20"/>
          <w:szCs w:val="20"/>
          <w:color w:val="auto"/>
        </w:rPr>
      </w:pPr>
    </w:p>
    <w:p>
      <w:pPr>
        <w:ind w:left="424" w:right="100" w:hanging="424"/>
        <w:spacing w:after="0" w:line="265" w:lineRule="auto"/>
        <w:tabs>
          <w:tab w:leader="none" w:pos="4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growth targets were set to be higher in the second half of the year given the planned increase in investments to accelerate growth. In line with this operating plan, non-GAAP EPS targets were set to be lower in the second half of the year given the anticipated increase in investment.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69" w:right="439" w:bottom="1440" w:gutter="0" w:footer="0" w:header="0"/>
        </w:sectPr>
      </w:pPr>
    </w:p>
    <w:bookmarkStart w:id="52" w:name="page53"/>
    <w:bookmarkEnd w:id="52"/>
    <w:p>
      <w:pPr>
        <w:ind w:right="54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achievement against the applicable performance measures discussed above, the quarterly and aggregate actual amounts awarded to our named executive officers (other than Mr. Peters) for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AEAEA"/>
        </w:rPr>
        <w:t>2021 Corporate Bonus Plan—Actual Award Amount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0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Q1 Award</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Q2 Award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Q3 Award</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 Award</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402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402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$ 100,000</w:t>
            </w:r>
          </w:p>
        </w:tc>
        <w:tc>
          <w:tcPr>
            <w:tcW w:w="28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14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26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$ 137,500</w:t>
            </w:r>
          </w:p>
        </w:tc>
        <w:tc>
          <w:tcPr>
            <w:tcW w:w="28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$ 512,500</w:t>
            </w:r>
          </w:p>
        </w:tc>
        <w:tc>
          <w:tcPr>
            <w:tcW w:w="8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Philippe F. Courtot</w:t>
            </w:r>
          </w:p>
        </w:tc>
        <w:tc>
          <w:tcPr>
            <w:tcW w:w="402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Joo Mi Kim</w:t>
            </w:r>
          </w:p>
        </w:tc>
        <w:tc>
          <w:tcPr>
            <w:tcW w:w="510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42,500</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42,500</w:t>
            </w:r>
          </w:p>
        </w:tc>
        <w:tc>
          <w:tcPr>
            <w:tcW w:w="122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42,500</w:t>
            </w:r>
          </w:p>
        </w:tc>
        <w:tc>
          <w:tcPr>
            <w:tcW w:w="11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51,250</w:t>
            </w:r>
          </w:p>
        </w:tc>
        <w:tc>
          <w:tcPr>
            <w:tcW w:w="9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178,750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Bruce K. Posey</w:t>
            </w:r>
          </w:p>
        </w:tc>
        <w:tc>
          <w:tcPr>
            <w:tcW w:w="5100" w:type="dxa"/>
            <w:vAlign w:val="bottom"/>
            <w:gridSpan w:val="3"/>
          </w:tcPr>
          <w:p>
            <w:pPr>
              <w:jc w:val="right"/>
              <w:ind w:right="260"/>
              <w:spacing w:after="0"/>
              <w:rPr>
                <w:sz w:val="20"/>
                <w:szCs w:val="20"/>
                <w:color w:val="auto"/>
              </w:rPr>
            </w:pPr>
            <w:r>
              <w:rPr>
                <w:rFonts w:ascii="Arial" w:cs="Arial" w:eastAsia="Arial" w:hAnsi="Arial"/>
                <w:sz w:val="18"/>
                <w:szCs w:val="18"/>
                <w:color w:val="auto"/>
              </w:rPr>
              <w:t>41,250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41,250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41,250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 Incentive Compensation Plan</w:t>
      </w:r>
    </w:p>
    <w:p>
      <w:pPr>
        <w:spacing w:after="0" w:line="102" w:lineRule="exact"/>
        <w:rPr>
          <w:sz w:val="20"/>
          <w:szCs w:val="20"/>
          <w:color w:val="auto"/>
        </w:rPr>
      </w:pPr>
    </w:p>
    <w:p>
      <w:pPr>
        <w:ind w:right="480" w:firstLine="440"/>
        <w:spacing w:after="0" w:line="253" w:lineRule="auto"/>
        <w:rPr>
          <w:sz w:val="20"/>
          <w:szCs w:val="20"/>
          <w:color w:val="auto"/>
        </w:rPr>
      </w:pPr>
      <w:r>
        <w:rPr>
          <w:rFonts w:ascii="Arial" w:cs="Arial" w:eastAsia="Arial" w:hAnsi="Arial"/>
          <w:sz w:val="18"/>
          <w:szCs w:val="18"/>
          <w:color w:val="auto"/>
        </w:rPr>
        <w:t>Since Mr. Peters’ responsibilities are based primarily on his ability to drive sales, his non-equity incentive plan compensation opportunity was provided under our Sales Incentive Compensation Plan instead of our 2021 Corporate Bonus Plan. Mr. Peters had a target sales incentive compensation opportunity under our Sales Incentive Compensation Plan equal to 100% of his base salary.</w:t>
      </w:r>
    </w:p>
    <w:p>
      <w:pPr>
        <w:spacing w:after="0" w:line="169" w:lineRule="exact"/>
        <w:rPr>
          <w:sz w:val="20"/>
          <w:szCs w:val="20"/>
          <w:color w:val="auto"/>
        </w:rPr>
      </w:pPr>
    </w:p>
    <w:p>
      <w:pPr>
        <w:ind w:right="280" w:firstLine="440"/>
        <w:spacing w:after="0" w:line="244" w:lineRule="auto"/>
        <w:rPr>
          <w:sz w:val="20"/>
          <w:szCs w:val="20"/>
          <w:color w:val="auto"/>
        </w:rPr>
      </w:pPr>
      <w:r>
        <w:rPr>
          <w:rFonts w:ascii="Arial" w:cs="Arial" w:eastAsia="Arial" w:hAnsi="Arial"/>
          <w:sz w:val="18"/>
          <w:szCs w:val="18"/>
          <w:color w:val="auto"/>
        </w:rPr>
        <w:t>As a participant in our Sales Incentive Compensation Plan, Mr. Peters received a non-recoverable draw from his hire date to September 30, 2021, in an amount equal to 100% of his target sales incentive compensation opportunity for such period. After the non-recoverable draw period, he was given an opportunity to receive payment based on the year-over-year growth in our new bookings (which was weighted 60%) and our upsell bookings (which was weighted 40%). Our Compensation and Talent Committee decided that these two metrics and this weighting best supported our short-term sales goals given our focus on new customer acquisition.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bookings metrics under our Sales Incentive Compensation Plan were calculated as follows:</w:t>
      </w:r>
    </w:p>
    <w:p>
      <w:pPr>
        <w:spacing w:after="0" w:line="117" w:lineRule="exact"/>
        <w:rPr>
          <w:sz w:val="20"/>
          <w:szCs w:val="20"/>
          <w:color w:val="auto"/>
        </w:rPr>
      </w:pPr>
    </w:p>
    <w:p>
      <w:pPr>
        <w:ind w:left="960" w:right="20" w:hanging="424"/>
        <w:spacing w:after="0" w:line="25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bookings was calculated as the sum of subscribed revenues for all subscriptions contracted (in the quarter) by customers that either had never previously purchased a Qualys product, license, or service or had neither been under contract nor purchased or received any Qualys product, license, or service for 12 months.</w:t>
      </w:r>
    </w:p>
    <w:p>
      <w:pPr>
        <w:spacing w:after="0" w:line="74" w:lineRule="exact"/>
        <w:rPr>
          <w:rFonts w:ascii="Arial" w:cs="Arial" w:eastAsia="Arial" w:hAnsi="Arial"/>
          <w:sz w:val="18"/>
          <w:szCs w:val="18"/>
          <w:color w:val="auto"/>
        </w:rPr>
      </w:pPr>
    </w:p>
    <w:p>
      <w:pPr>
        <w:ind w:left="960" w:right="160" w:hanging="424"/>
        <w:spacing w:after="0" w:line="244"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Upsell bookings was calculated as the sum of (i) the subscribed revenues added (in the quarter) before the term of existing contracts and (ii) the incremental subscribed revenues exceeding the subscribed revenues of the original contracts that were being renewed in the quarter (i.e., the total subscribed revenues minus the subscribed revenues that result from the customers’ renewed or extended commitments to pay subscription fees for Qualys’ services that were provided to the customers under their prior or existing contracts).</w:t>
      </w:r>
    </w:p>
    <w:p>
      <w:pPr>
        <w:spacing w:after="0" w:line="176"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For each metric, the subscribed revenues were based on the amount of subscription contracted if the term is one year or less and were capped at one year’s worth of subscribed revenues if the subscription term exceeds one year. The measures were internal measures and are non-GAAP financial measures.</w:t>
      </w:r>
    </w:p>
    <w:p>
      <w:pPr>
        <w:spacing w:after="0" w:line="16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Mr. Peters’ sales incentive compensation for the fourth quarter of 2021 was paid as a percentage of his target sales incentive compensation amount based on the weighted average of the payout percentages for each applicable measure. For each of the two measures, the payout percentage was capped at 200% of target. Our Compensation and Talent Committee believed that achieving the top</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69" w:right="439" w:bottom="1440" w:gutter="0" w:footer="0" w:header="0"/>
        </w:sectPr>
      </w:pPr>
    </w:p>
    <w:bookmarkStart w:id="53" w:name="page54"/>
    <w:bookmarkEnd w:id="53"/>
    <w:p>
      <w:pPr>
        <w:jc w:val="both"/>
        <w:ind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 of the targets would be sufficiently challenging and incentivize top-end performance. Payout could be zero if performance is below minimum levels for both measures. To be eligible for a sales incentive compensation payment under our Sales Incentive Compensation Plan, Mr. Peters must be employed as of the last day of the quarter.</w:t>
      </w:r>
    </w:p>
    <w:p>
      <w:pPr>
        <w:spacing w:after="0" w:line="169" w:lineRule="exact"/>
        <w:rPr>
          <w:sz w:val="20"/>
          <w:szCs w:val="20"/>
          <w:color w:val="auto"/>
        </w:rPr>
      </w:pPr>
    </w:p>
    <w:p>
      <w:pPr>
        <w:ind w:right="440" w:firstLine="440"/>
        <w:spacing w:after="0" w:line="271" w:lineRule="auto"/>
        <w:rPr>
          <w:sz w:val="20"/>
          <w:szCs w:val="20"/>
          <w:color w:val="auto"/>
        </w:rPr>
      </w:pPr>
      <w:r>
        <w:rPr>
          <w:rFonts w:ascii="Arial" w:cs="Arial" w:eastAsia="Arial" w:hAnsi="Arial"/>
          <w:sz w:val="18"/>
          <w:szCs w:val="18"/>
          <w:color w:val="auto"/>
        </w:rPr>
        <w:t>Based on the achievement against the applicable performance measures, the actual amount paid to Mr. Peters under our Sales Incentive Compensation Plan for the fourth quarter of 2021 was $145,194 (which was 179% of target).</w:t>
      </w:r>
    </w:p>
    <w:p>
      <w:pPr>
        <w:spacing w:after="0" w:line="154" w:lineRule="exact"/>
        <w:rPr>
          <w:sz w:val="20"/>
          <w:szCs w:val="20"/>
          <w:color w:val="auto"/>
        </w:rPr>
      </w:pPr>
    </w:p>
    <w:p>
      <w:pPr>
        <w:jc w:val="both"/>
        <w:ind w:right="160" w:firstLine="440"/>
        <w:spacing w:after="0" w:line="247" w:lineRule="auto"/>
        <w:rPr>
          <w:sz w:val="20"/>
          <w:szCs w:val="20"/>
          <w:color w:val="auto"/>
        </w:rPr>
      </w:pPr>
      <w:r>
        <w:rPr>
          <w:rFonts w:ascii="Arial" w:cs="Arial" w:eastAsia="Arial" w:hAnsi="Arial"/>
          <w:sz w:val="18"/>
          <w:szCs w:val="18"/>
          <w:color w:val="auto"/>
        </w:rPr>
        <w:t>With respect to the actual new bookings and upsell bookings growth rates, as noted above, these are internal measures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In 2021, we introduced performance-based equity awards for our non-CEO named executive officers. As a result, the equity awards we granted to our named executive officers in 2021 were a mix of time-based restricted stock units (“RSUs”) and performance-based restricted stock units (“PRSUs”). RSUs serve to retain our named executive officers over the long term and align with our objective of long-term stockholder value creation. PRSUs drive long-term stockholder value creation and more strongly aligns our named executive officers’ interests with the interests of the Company and its stockholders. The PRSUs will provide significant value to our named executive officers only if the Company achieves specific operational goals since the PRSUs will vest only if these goals are achieved.</w:t>
      </w:r>
    </w:p>
    <w:p>
      <w:pPr>
        <w:spacing w:after="0" w:line="180"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w:t>
      </w:r>
    </w:p>
    <w:p>
      <w:pPr>
        <w:spacing w:after="0" w:line="79" w:lineRule="exact"/>
        <w:rPr>
          <w:sz w:val="20"/>
          <w:szCs w:val="20"/>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named executive officer’s performance, contributions, responsibilities, and experience;</w:t>
      </w:r>
    </w:p>
    <w:p>
      <w:pPr>
        <w:spacing w:after="0" w:line="117" w:lineRule="exact"/>
        <w:rPr>
          <w:rFonts w:ascii="Arial" w:cs="Arial" w:eastAsia="Arial" w:hAnsi="Arial"/>
          <w:sz w:val="18"/>
          <w:szCs w:val="18"/>
          <w:color w:val="auto"/>
        </w:rPr>
      </w:pPr>
    </w:p>
    <w:p>
      <w:pPr>
        <w:ind w:left="960" w:right="360" w:hanging="424"/>
        <w:spacing w:after="0" w:line="271"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compensation analysis performed by our human resources department and/or our independent compensation consultant;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peer group and market data provided by our independent compensation consultant;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equity award recommendations of management (except with respect to their own equity awards);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and internal equity considerations.</w:t>
      </w:r>
    </w:p>
    <w:p>
      <w:pPr>
        <w:spacing w:after="0" w:line="212"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We also periodically grant equity awards to new executive hires or in connection with a promotion and to recognize corporate and individual performance. The size of equity awards granted to our named executive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69" w:right="459" w:bottom="1440" w:gutter="0" w:footer="0" w:header="0"/>
        </w:sectPr>
      </w:pPr>
    </w:p>
    <w:bookmarkStart w:id="54" w:name="page55"/>
    <w:bookmarkEnd w:id="54"/>
    <w:p>
      <w:pPr>
        <w:jc w:val="both"/>
        <w:ind w:right="3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69" w:lineRule="exact"/>
        <w:rPr>
          <w:sz w:val="20"/>
          <w:szCs w:val="20"/>
          <w:color w:val="auto"/>
        </w:rPr>
      </w:pPr>
    </w:p>
    <w:p>
      <w:pPr>
        <w:ind w:right="1080" w:firstLine="440"/>
        <w:spacing w:after="0" w:line="271" w:lineRule="auto"/>
        <w:rPr>
          <w:sz w:val="20"/>
          <w:szCs w:val="20"/>
          <w:color w:val="auto"/>
        </w:rPr>
      </w:pPr>
      <w:r>
        <w:rPr>
          <w:rFonts w:ascii="Arial" w:cs="Arial" w:eastAsia="Arial" w:hAnsi="Arial"/>
          <w:sz w:val="18"/>
          <w:szCs w:val="18"/>
          <w:color w:val="auto"/>
        </w:rPr>
        <w:t>The equity awards granted to our named executive officers in 2021 are set forth in the sections entitled “</w:t>
      </w:r>
      <w:r>
        <w:rPr>
          <w:rFonts w:ascii="Arial" w:cs="Arial" w:eastAsia="Arial" w:hAnsi="Arial"/>
          <w:sz w:val="18"/>
          <w:szCs w:val="18"/>
          <w:i w:val="1"/>
          <w:iCs w:val="1"/>
          <w:color w:val="auto"/>
        </w:rPr>
        <w:t>2021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2021 Table</w:t>
      </w:r>
      <w:r>
        <w:rPr>
          <w:rFonts w:ascii="Arial" w:cs="Arial" w:eastAsia="Arial" w:hAnsi="Arial"/>
          <w:sz w:val="18"/>
          <w:szCs w:val="18"/>
          <w:color w:val="auto"/>
        </w:rPr>
        <w:t>” below.</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Hire Grant</w:t>
      </w:r>
    </w:p>
    <w:p>
      <w:pPr>
        <w:spacing w:after="0" w:line="102"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In August 2021, our Compensation and Talent Committee approved an initial new hire award of 29,215 RSUs to Mr. Peters as a form of inducement to join and remain with Qualys. The RSU award had an intended value of $ 3,000,000, which was converted into a number of RSUs by dividing the intended value by the average closing price of our common stock for the 30-trading-day-period ending seven days before the grant date. The RSU award vests over a 4 year period as to 25% of the RSUs on June 1, 2022, and as to 1/16</w:t>
      </w:r>
      <w:r>
        <w:rPr>
          <w:rFonts w:ascii="Arial" w:cs="Arial" w:eastAsia="Arial" w:hAnsi="Arial"/>
          <w:sz w:val="15"/>
          <w:szCs w:val="15"/>
          <w:color w:val="auto"/>
        </w:rPr>
        <w:t>th</w:t>
      </w:r>
      <w:r>
        <w:rPr>
          <w:rFonts w:ascii="Arial" w:cs="Arial" w:eastAsia="Arial" w:hAnsi="Arial"/>
          <w:sz w:val="18"/>
          <w:szCs w:val="18"/>
          <w:color w:val="auto"/>
        </w:rPr>
        <w:t xml:space="preserve"> of the RSUs each quarter thereafter, subject to Mr. Peters’ continued service with us. We subsequently granted an equity award to Mr. Peters consisting entirely of PRSUs that resulted in approximately 30% of the intended target value of the awards granted to Mr. Peters in 2021 (in the aggregate) being performance-based, which aligned with the approach taken for our other non-CEO named executive officers. The vesting of the RSU award would accelerate upon the occurrence of certain specified events, as described in the section entitled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CEO Appointment Grants</w:t>
      </w:r>
    </w:p>
    <w:p>
      <w:pPr>
        <w:spacing w:after="0" w:line="102" w:lineRule="exact"/>
        <w:rPr>
          <w:sz w:val="20"/>
          <w:szCs w:val="20"/>
          <w:color w:val="auto"/>
        </w:rPr>
      </w:pPr>
    </w:p>
    <w:p>
      <w:pPr>
        <w:ind w:right="240" w:firstLine="440"/>
        <w:spacing w:after="0" w:line="301" w:lineRule="auto"/>
        <w:rPr>
          <w:sz w:val="20"/>
          <w:szCs w:val="20"/>
          <w:color w:val="auto"/>
        </w:rPr>
      </w:pPr>
      <w:r>
        <w:rPr>
          <w:rFonts w:ascii="Arial" w:cs="Arial" w:eastAsia="Arial" w:hAnsi="Arial"/>
          <w:sz w:val="17"/>
          <w:szCs w:val="17"/>
          <w:color w:val="auto"/>
        </w:rPr>
        <w:t>In April 2021, in connection with Mr. Thakar’s appointment as our CEO, our board of directors approved the grant of an award of 9,671 PRSUs at the target level of performance (or 19,342 PRSUs at the maximum level of performance) and an award of 9,671 RSUs.</w:t>
      </w:r>
    </w:p>
    <w:p>
      <w:pPr>
        <w:spacing w:after="0" w:line="131" w:lineRule="exact"/>
        <w:rPr>
          <w:sz w:val="20"/>
          <w:szCs w:val="20"/>
          <w:color w:val="auto"/>
        </w:rPr>
      </w:pPr>
    </w:p>
    <w:p>
      <w:pPr>
        <w:ind w:right="580" w:firstLine="440"/>
        <w:spacing w:after="0" w:line="271" w:lineRule="auto"/>
        <w:rPr>
          <w:sz w:val="20"/>
          <w:szCs w:val="20"/>
          <w:color w:val="auto"/>
        </w:rPr>
      </w:pPr>
      <w:r>
        <w:rPr>
          <w:rFonts w:ascii="Arial" w:cs="Arial" w:eastAsia="Arial" w:hAnsi="Arial"/>
          <w:sz w:val="18"/>
          <w:szCs w:val="18"/>
          <w:color w:val="auto"/>
        </w:rPr>
        <w:t>The RSU award will vest quarterly in equal installments over four years from the vesting commencement date of May 1, 2021, subject to Mr. Thakar’s continued service with us as of each vesting date.</w:t>
      </w:r>
    </w:p>
    <w:p>
      <w:pPr>
        <w:spacing w:after="0" w:line="154"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The PRSU award will vest based on the same financial targets previously set for performance-based award granted to Mr. Courtot (compound annual growth rate of the Company’s revenues for a three-year performance period from January 2021 through December 2023 and the compound annual growth rate of the Company’s free cash flow per share for the same three-year performance period). The two metrics were calculated as follows:</w:t>
      </w:r>
    </w:p>
    <w:p>
      <w:pPr>
        <w:spacing w:after="0" w:line="79" w:lineRule="exact"/>
        <w:rPr>
          <w:sz w:val="20"/>
          <w:szCs w:val="20"/>
          <w:color w:val="auto"/>
        </w:rPr>
      </w:pPr>
    </w:p>
    <w:p>
      <w:pPr>
        <w:ind w:left="960" w:right="560" w:hanging="424"/>
        <w:spacing w:after="0" w:line="271"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was determined in accordance with GAAP in effect on the date of grant, subject to adjustments to exclude the effects of acquisitions and/or dispositions during the performance period.</w:t>
      </w:r>
    </w:p>
    <w:p>
      <w:pPr>
        <w:spacing w:after="0" w:line="59" w:lineRule="exact"/>
        <w:rPr>
          <w:rFonts w:ascii="Arial" w:cs="Arial" w:eastAsia="Arial" w:hAnsi="Arial"/>
          <w:sz w:val="18"/>
          <w:szCs w:val="18"/>
          <w:color w:val="auto"/>
        </w:rPr>
      </w:pPr>
    </w:p>
    <w:p>
      <w:pPr>
        <w:ind w:left="960" w:hanging="424"/>
        <w:spacing w:after="0" w:line="25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 cash flow per share was calculated as (i) calendar year cash flows provided by operating activities, determined according to GAAP in effect on the date of grant, less (A) purchases of property and equipment, less (B) principal payments under capital lease obligations, divided by (ii) weighted average dilutive shares outstanding for such calendar year.</w:t>
      </w:r>
    </w:p>
    <w:p>
      <w:pPr>
        <w:spacing w:after="0" w:line="169"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In addition, the vesting of these equity awards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69"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Equity Grants</w:t>
      </w:r>
    </w:p>
    <w:p>
      <w:pPr>
        <w:spacing w:after="0" w:line="102"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In 2021, based on feedback from our stockholders, our Compensation and Talent Committee determined that, in addition to the annual equity grants to our CEO, the annual equity grants to our other named executive officers should include performance-based equity awards. As a result, the annual equity grants to our named executive officers (other than Mr. Peters) for 2021 consisted of a mix of RSUs and PRSUs. Mr. Peters’ annual equity grant consisted entirely of PRSUs, in light of his having received a new hire grant of RSUs upon the commencement of his employment with us. Mr. Courtot was not granted any equity awards in 2021. Our board of directors approved these annual equity grants to our named executive officers in October 2021.</w:t>
      </w:r>
    </w:p>
    <w:p>
      <w:pPr>
        <w:spacing w:after="0" w:line="17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RSUs granted to our named executive officers vest over four years and serve to retain our named executive officers over a long-term period and align with our objective of long-term stockholder value creation. The vesting of the RSUs is subject to the applicable named executive officer’s continued service with us as of each vesting date.</w:t>
      </w:r>
    </w:p>
    <w:p>
      <w:pPr>
        <w:spacing w:after="0" w:line="169" w:lineRule="exact"/>
        <w:rPr>
          <w:sz w:val="20"/>
          <w:szCs w:val="20"/>
          <w:color w:val="auto"/>
        </w:rPr>
      </w:pPr>
    </w:p>
    <w:p>
      <w:pPr>
        <w:ind w:right="120" w:firstLine="440"/>
        <w:spacing w:after="0" w:line="247" w:lineRule="auto"/>
        <w:rPr>
          <w:sz w:val="20"/>
          <w:szCs w:val="20"/>
          <w:color w:val="auto"/>
        </w:rPr>
      </w:pPr>
      <w:r>
        <w:rPr>
          <w:rFonts w:ascii="Arial" w:cs="Arial" w:eastAsia="Arial" w:hAnsi="Arial"/>
          <w:sz w:val="18"/>
          <w:szCs w:val="18"/>
          <w:color w:val="auto"/>
        </w:rPr>
        <w:t>Each named executive officer’s PRSUs are divided into three tranches with one-year performance periods covering the calendar years 2022, 2023, and 2024, respectively. One-third of the target number of PRSUs is allocated to each tranche. Each tranche will become eligible to vest based on the annual growth rate of the Company’s revenues and the Company’s adjusted EBITDA margin for the applicable performance period. These two metrics were calculated as follows:</w:t>
      </w:r>
    </w:p>
    <w:p>
      <w:pPr>
        <w:spacing w:after="0" w:line="79" w:lineRule="exact"/>
        <w:rPr>
          <w:sz w:val="20"/>
          <w:szCs w:val="20"/>
          <w:color w:val="auto"/>
        </w:rPr>
      </w:pPr>
    </w:p>
    <w:p>
      <w:pPr>
        <w:ind w:left="960" w:right="560" w:hanging="424"/>
        <w:spacing w:after="0" w:line="271"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was determined in accordance with GAAP in effect on the date of grant, subject to adjustments to exclude the effects of acquisitions and/or dispositions during the performance period.</w:t>
      </w:r>
    </w:p>
    <w:p>
      <w:pPr>
        <w:spacing w:after="0" w:line="59" w:lineRule="exact"/>
        <w:rPr>
          <w:rFonts w:ascii="Arial" w:cs="Arial" w:eastAsia="Arial" w:hAnsi="Arial"/>
          <w:sz w:val="18"/>
          <w:szCs w:val="18"/>
          <w:color w:val="auto"/>
        </w:rPr>
      </w:pPr>
    </w:p>
    <w:p>
      <w:pPr>
        <w:ind w:left="960" w:right="40" w:hanging="424"/>
        <w:spacing w:after="0" w:line="241"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EBITDA margin was calculated as (i) net income (loss) for the performance period before (A) other (income) expense, net, which includes interest income, interest expense and other income and expense, (B) provision for (benefit from) income taxes, (C) depreciation and amortization of property and equipment, (D) amortization of intangible assets, and</w:t>
      </w:r>
    </w:p>
    <w:p>
      <w:pPr>
        <w:spacing w:after="0" w:line="1" w:lineRule="exact"/>
        <w:rPr>
          <w:rFonts w:ascii="Arial" w:cs="Arial" w:eastAsia="Arial" w:hAnsi="Arial"/>
          <w:sz w:val="18"/>
          <w:szCs w:val="18"/>
          <w:color w:val="auto"/>
        </w:rPr>
      </w:pPr>
    </w:p>
    <w:p>
      <w:pPr>
        <w:ind w:left="960" w:right="520"/>
        <w:spacing w:after="0" w:line="250" w:lineRule="auto"/>
        <w:rPr>
          <w:rFonts w:ascii="Arial" w:cs="Arial" w:eastAsia="Arial" w:hAnsi="Arial"/>
          <w:sz w:val="18"/>
          <w:szCs w:val="18"/>
          <w:color w:val="auto"/>
        </w:rPr>
      </w:pPr>
      <w:r>
        <w:rPr>
          <w:rFonts w:ascii="Arial" w:cs="Arial" w:eastAsia="Arial" w:hAnsi="Arial"/>
          <w:sz w:val="18"/>
          <w:szCs w:val="18"/>
          <w:color w:val="auto"/>
        </w:rPr>
        <w:t>(E) stock-based compensation, divided by (ii) revenue for the performance period, subject to adjustments to exclude the effects of acquisitions and/or dispositions during the performance period.</w:t>
      </w:r>
    </w:p>
    <w:p>
      <w:pPr>
        <w:spacing w:after="0" w:line="172"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color w:val="auto"/>
        </w:rPr>
        <w:t>The revenue growth and adjusted EBITDA margin targets for the second and third tranches will be based on the Company’s annual operating plan for the applicable year, which will be determined our board of directors before the start of that year.</w:t>
      </w:r>
    </w:p>
    <w:p>
      <w:pPr>
        <w:spacing w:after="0" w:line="154" w:lineRule="exact"/>
        <w:rPr>
          <w:sz w:val="20"/>
          <w:szCs w:val="20"/>
          <w:color w:val="auto"/>
        </w:rPr>
      </w:pPr>
    </w:p>
    <w:p>
      <w:pPr>
        <w:ind w:right="500" w:firstLine="440"/>
        <w:spacing w:after="0" w:line="271" w:lineRule="auto"/>
        <w:rPr>
          <w:sz w:val="20"/>
          <w:szCs w:val="20"/>
          <w:color w:val="auto"/>
        </w:rPr>
      </w:pPr>
      <w:r>
        <w:rPr>
          <w:rFonts w:ascii="Arial" w:cs="Arial" w:eastAsia="Arial" w:hAnsi="Arial"/>
          <w:sz w:val="18"/>
          <w:szCs w:val="18"/>
          <w:color w:val="auto"/>
        </w:rPr>
        <w:t>Any PRSUs that become eligible to vest will be scheduled to vest according to the following schedule, subject to the applicable named executive officer’s continued service through the applicable vesting date:</w:t>
      </w:r>
    </w:p>
    <w:p>
      <w:pPr>
        <w:spacing w:after="0" w:line="59" w:lineRule="exact"/>
        <w:rPr>
          <w:sz w:val="20"/>
          <w:szCs w:val="20"/>
          <w:color w:val="auto"/>
        </w:rPr>
      </w:pPr>
    </w:p>
    <w:p>
      <w:pPr>
        <w:ind w:left="960" w:right="340" w:hanging="424"/>
        <w:spacing w:after="0" w:line="25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first and second tranches, up to 100% of the target number of PRSUs allocated to the tranche will vest on the date that performance is certified for that tranche, and any remaining PRSUs that became eligible to vest (“Over Performance Amount”) will vest on the date that performance is certified for the third tranche.</w:t>
      </w:r>
    </w:p>
    <w:p>
      <w:pPr>
        <w:spacing w:after="0" w:line="74" w:lineRule="exact"/>
        <w:rPr>
          <w:rFonts w:ascii="Arial" w:cs="Arial" w:eastAsia="Arial" w:hAnsi="Arial"/>
          <w:sz w:val="18"/>
          <w:szCs w:val="18"/>
          <w:color w:val="auto"/>
        </w:rPr>
      </w:pPr>
    </w:p>
    <w:p>
      <w:pPr>
        <w:ind w:left="960" w:right="260" w:hanging="424"/>
        <w:spacing w:after="0" w:line="271"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third tranche, all of the PRSUs that became eligible to vest will vest on the date that performance is certified for that tranche.</w:t>
      </w:r>
    </w:p>
    <w:p>
      <w:pPr>
        <w:spacing w:after="0" w:line="154" w:lineRule="exact"/>
        <w:rPr>
          <w:sz w:val="20"/>
          <w:szCs w:val="20"/>
          <w:color w:val="auto"/>
        </w:rPr>
      </w:pPr>
    </w:p>
    <w:p>
      <w:pPr>
        <w:ind w:right="240" w:firstLine="440"/>
        <w:spacing w:after="0" w:line="247" w:lineRule="auto"/>
        <w:rPr>
          <w:sz w:val="20"/>
          <w:szCs w:val="20"/>
          <w:color w:val="auto"/>
        </w:rPr>
      </w:pPr>
      <w:r>
        <w:rPr>
          <w:rFonts w:ascii="Arial" w:cs="Arial" w:eastAsia="Arial" w:hAnsi="Arial"/>
          <w:sz w:val="18"/>
          <w:szCs w:val="18"/>
          <w:color w:val="auto"/>
        </w:rPr>
        <w:t>In designing the vesting structure of these PRSUs, our Compensation and Talent Committee sought to balance the short-term and long-term incentive and retention aspects of the PRSUs, by allowing the named executive officers to vest in up to the target number of PRSUs each year but requiring continued service for approximately 3 years in order to vest in any excess number of PRSUs that are earned based on over-achievement of the performance goals.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1" w:right="459" w:bottom="1440" w:gutter="0" w:footer="0" w:header="0"/>
        </w:sectPr>
      </w:pPr>
    </w:p>
    <w:bookmarkStart w:id="56" w:name="page57"/>
    <w:bookmarkEnd w:id="56"/>
    <w:p>
      <w:pPr>
        <w:ind w:left="4" w:right="6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vesting of these RSUs and PRSUs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154"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8"/>
          <w:szCs w:val="18"/>
          <w:color w:val="auto"/>
        </w:rPr>
        <w:t>The number of shares of our common stock covered by the RSUs and PRSUs and their intended value at the time of grant are listed in the table below.</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Intended</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Intended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Intended Value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PRSUs at</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PRSUs at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Value of</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PRSUs at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PRSUs at</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57"/>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920" w:type="dxa"/>
            <w:vAlign w:val="bottom"/>
          </w:tcPr>
          <w:p>
            <w:pPr>
              <w:spacing w:after="0"/>
              <w:rPr>
                <w:sz w:val="13"/>
                <w:szCs w:val="13"/>
                <w:color w:val="auto"/>
              </w:rPr>
            </w:pPr>
          </w:p>
        </w:tc>
        <w:tc>
          <w:tcPr>
            <w:tcW w:w="9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Time-Based</w:t>
            </w: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Target Level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9"/>
              </w:rPr>
              <w:t>Target Level</w:t>
            </w:r>
          </w:p>
        </w:tc>
        <w:tc>
          <w:tcPr>
            <w:tcW w:w="13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Level of</w:t>
            </w:r>
          </w:p>
        </w:tc>
        <w:tc>
          <w:tcPr>
            <w:tcW w:w="100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Level of</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vMerge w:val="continue"/>
          </w:tcPr>
          <w:p>
            <w:pPr>
              <w:spacing w:after="0"/>
              <w:rPr>
                <w:sz w:val="15"/>
                <w:szCs w:val="15"/>
                <w:color w:val="auto"/>
              </w:rPr>
            </w:pPr>
          </w:p>
        </w:tc>
        <w:tc>
          <w:tcPr>
            <w:tcW w:w="1920" w:type="dxa"/>
            <w:vAlign w:val="bottom"/>
          </w:tcPr>
          <w:p>
            <w:pPr>
              <w:spacing w:after="0"/>
              <w:rPr>
                <w:sz w:val="15"/>
                <w:szCs w:val="15"/>
                <w:color w:val="auto"/>
              </w:rPr>
            </w:pPr>
          </w:p>
        </w:tc>
        <w:tc>
          <w:tcPr>
            <w:tcW w:w="960" w:type="dxa"/>
            <w:vAlign w:val="bottom"/>
            <w:gridSpan w:val="2"/>
          </w:tcPr>
          <w:p>
            <w:pPr>
              <w:jc w:val="center"/>
              <w:ind w:right="140"/>
              <w:spacing w:after="0" w:line="164" w:lineRule="exact"/>
              <w:rPr>
                <w:sz w:val="20"/>
                <w:szCs w:val="20"/>
                <w:color w:val="auto"/>
              </w:rPr>
            </w:pPr>
            <w:r>
              <w:rPr>
                <w:rFonts w:ascii="Arial" w:cs="Arial" w:eastAsia="Arial" w:hAnsi="Arial"/>
                <w:sz w:val="11"/>
                <w:szCs w:val="11"/>
                <w:b w:val="1"/>
                <w:bCs w:val="1"/>
                <w:color w:val="auto"/>
              </w:rPr>
              <w:t>RSUs</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RSUs</w:t>
            </w:r>
          </w:p>
        </w:tc>
        <w:tc>
          <w:tcPr>
            <w:tcW w:w="1320" w:type="dxa"/>
            <w:vAlign w:val="bottom"/>
            <w:gridSpan w:val="2"/>
          </w:tcPr>
          <w:p>
            <w:pPr>
              <w:jc w:val="center"/>
              <w:ind w:right="140"/>
              <w:spacing w:after="0" w:line="164" w:lineRule="exact"/>
              <w:rPr>
                <w:sz w:val="20"/>
                <w:szCs w:val="20"/>
                <w:color w:val="auto"/>
              </w:rPr>
            </w:pPr>
            <w:r>
              <w:rPr>
                <w:rFonts w:ascii="Arial" w:cs="Arial" w:eastAsia="Arial" w:hAnsi="Arial"/>
                <w:sz w:val="11"/>
                <w:szCs w:val="11"/>
                <w:b w:val="1"/>
                <w:bCs w:val="1"/>
                <w:color w:val="auto"/>
              </w:rPr>
              <w:t>Performance</w:t>
            </w:r>
            <w:r>
              <w:rPr>
                <w:rFonts w:ascii="Arial" w:cs="Arial" w:eastAsia="Arial" w:hAnsi="Arial"/>
                <w:sz w:val="18"/>
                <w:szCs w:val="18"/>
                <w:b w:val="1"/>
                <w:bCs w:val="1"/>
                <w:color w:val="auto"/>
                <w:vertAlign w:val="superscript"/>
              </w:rPr>
              <w:t>(1)(2)</w:t>
            </w:r>
          </w:p>
        </w:tc>
        <w:tc>
          <w:tcPr>
            <w:tcW w:w="14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of Performance</w:t>
            </w:r>
          </w:p>
        </w:tc>
        <w:tc>
          <w:tcPr>
            <w:tcW w:w="1340" w:type="dxa"/>
            <w:vAlign w:val="bottom"/>
            <w:gridSpan w:val="2"/>
          </w:tcPr>
          <w:p>
            <w:pPr>
              <w:jc w:val="center"/>
              <w:ind w:right="260"/>
              <w:spacing w:after="0" w:line="164" w:lineRule="exact"/>
              <w:rPr>
                <w:sz w:val="20"/>
                <w:szCs w:val="20"/>
                <w:color w:val="auto"/>
              </w:rPr>
            </w:pPr>
            <w:r>
              <w:rPr>
                <w:rFonts w:ascii="Arial" w:cs="Arial" w:eastAsia="Arial" w:hAnsi="Arial"/>
                <w:sz w:val="11"/>
                <w:szCs w:val="11"/>
                <w:b w:val="1"/>
                <w:bCs w:val="1"/>
                <w:color w:val="auto"/>
              </w:rPr>
              <w:t>Performance</w:t>
            </w:r>
            <w:r>
              <w:rPr>
                <w:rFonts w:ascii="Arial" w:cs="Arial" w:eastAsia="Arial" w:hAnsi="Arial"/>
                <w:sz w:val="18"/>
                <w:szCs w:val="18"/>
                <w:b w:val="1"/>
                <w:bCs w:val="1"/>
                <w:color w:val="auto"/>
                <w:vertAlign w:val="superscript"/>
              </w:rPr>
              <w:t>(1)</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9"/>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192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39,288</w:t>
            </w:r>
          </w:p>
        </w:tc>
        <w:tc>
          <w:tcPr>
            <w:tcW w:w="140" w:type="dxa"/>
            <w:vAlign w:val="bottom"/>
            <w:tcBorders>
              <w:top w:val="single" w:sz="8" w:color="E5E5E5"/>
            </w:tcBorders>
            <w:shd w:val="clear" w:color="auto" w:fill="E5E5E5"/>
          </w:tcPr>
          <w:p>
            <w:pPr>
              <w:spacing w:after="0"/>
              <w:rPr>
                <w:sz w:val="16"/>
                <w:szCs w:val="16"/>
                <w:color w:val="auto"/>
              </w:rPr>
            </w:pPr>
          </w:p>
        </w:tc>
        <w:tc>
          <w:tcPr>
            <w:tcW w:w="120" w:type="dxa"/>
            <w:vAlign w:val="bottom"/>
            <w:tcBorders>
              <w:top w:val="single" w:sz="8" w:color="E5E5E5"/>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$4,500,000</w:t>
            </w:r>
          </w:p>
        </w:tc>
        <w:tc>
          <w:tcPr>
            <w:tcW w:w="280" w:type="dxa"/>
            <w:vAlign w:val="bottom"/>
            <w:tcBorders>
              <w:top w:val="single" w:sz="8" w:color="E5E5E5"/>
            </w:tcBorders>
            <w:shd w:val="clear" w:color="auto" w:fill="E5E5E5"/>
          </w:tcPr>
          <w:p>
            <w:pPr>
              <w:spacing w:after="0"/>
              <w:rPr>
                <w:sz w:val="16"/>
                <w:szCs w:val="16"/>
                <w:color w:val="auto"/>
              </w:rPr>
            </w:pPr>
          </w:p>
        </w:tc>
        <w:tc>
          <w:tcPr>
            <w:tcW w:w="118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39,288</w:t>
            </w:r>
          </w:p>
        </w:tc>
        <w:tc>
          <w:tcPr>
            <w:tcW w:w="14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100" w:type="dxa"/>
            <w:vAlign w:val="bottom"/>
            <w:tcBorders>
              <w:top w:val="single" w:sz="8" w:color="auto"/>
            </w:tcBorders>
            <w:shd w:val="clear" w:color="auto" w:fill="E5E5E5"/>
          </w:tcPr>
          <w:p>
            <w:pPr>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4,500,000</w:t>
            </w:r>
          </w:p>
        </w:tc>
        <w:tc>
          <w:tcPr>
            <w:tcW w:w="260" w:type="dxa"/>
            <w:vAlign w:val="bottom"/>
            <w:tcBorders>
              <w:top w:val="single" w:sz="8" w:color="E5E5E5"/>
            </w:tcBorders>
            <w:shd w:val="clear" w:color="auto" w:fill="E5E5E5"/>
          </w:tcPr>
          <w:p>
            <w:pPr>
              <w:spacing w:after="0"/>
              <w:rPr>
                <w:sz w:val="16"/>
                <w:szCs w:val="16"/>
                <w:color w:val="auto"/>
              </w:rPr>
            </w:pPr>
          </w:p>
        </w:tc>
        <w:tc>
          <w:tcPr>
            <w:tcW w:w="106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78,576</w:t>
            </w:r>
          </w:p>
        </w:tc>
        <w:tc>
          <w:tcPr>
            <w:tcW w:w="280" w:type="dxa"/>
            <w:vAlign w:val="bottom"/>
            <w:tcBorders>
              <w:top w:val="single" w:sz="8" w:color="E5E5E5"/>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jc w:val="center"/>
              <w:spacing w:after="0" w:line="189" w:lineRule="exact"/>
              <w:rPr>
                <w:sz w:val="20"/>
                <w:szCs w:val="20"/>
                <w:color w:val="auto"/>
              </w:rPr>
            </w:pPr>
            <w:r>
              <w:rPr>
                <w:rFonts w:ascii="Arial" w:cs="Arial" w:eastAsia="Arial" w:hAnsi="Arial"/>
                <w:sz w:val="18"/>
                <w:szCs w:val="18"/>
                <w:color w:val="auto"/>
                <w:w w:val="96"/>
              </w:rPr>
              <w:t>$ 9,000,000</w:t>
            </w:r>
          </w:p>
        </w:tc>
        <w:tc>
          <w:tcPr>
            <w:tcW w:w="8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28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33,100</w:t>
            </w:r>
          </w:p>
        </w:tc>
        <w:tc>
          <w:tcPr>
            <w:tcW w:w="13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$3,791,200</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14,186</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1,624,800</w:t>
            </w: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28,372</w:t>
            </w:r>
          </w:p>
        </w:tc>
        <w:tc>
          <w:tcPr>
            <w:tcW w:w="10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6"/>
              </w:rPr>
              <w:t>$ 3,249,600</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Allan Peters</w:t>
            </w:r>
          </w:p>
        </w:tc>
        <w:tc>
          <w:tcPr>
            <w:tcW w:w="19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10,914</w:t>
            </w: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1,250,000</w:t>
            </w:r>
          </w:p>
        </w:tc>
        <w:tc>
          <w:tcPr>
            <w:tcW w:w="13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21,828</w:t>
            </w:r>
          </w:p>
        </w:tc>
        <w:tc>
          <w:tcPr>
            <w:tcW w:w="1000" w:type="dxa"/>
            <w:vAlign w:val="bottom"/>
            <w:gridSpan w:val="2"/>
            <w:shd w:val="clear" w:color="auto" w:fill="E5E5E5"/>
          </w:tcPr>
          <w:p>
            <w:pPr>
              <w:jc w:val="center"/>
              <w:ind w:right="80"/>
              <w:spacing w:after="0" w:line="202" w:lineRule="exact"/>
              <w:rPr>
                <w:sz w:val="20"/>
                <w:szCs w:val="20"/>
                <w:color w:val="auto"/>
              </w:rPr>
            </w:pPr>
            <w:r>
              <w:rPr>
                <w:rFonts w:ascii="Arial" w:cs="Arial" w:eastAsia="Arial" w:hAnsi="Arial"/>
                <w:sz w:val="18"/>
                <w:szCs w:val="18"/>
                <w:color w:val="auto"/>
                <w:w w:val="96"/>
              </w:rPr>
              <w:t>$ 2,500,000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Bruce K. Posey</w:t>
            </w:r>
          </w:p>
        </w:tc>
        <w:tc>
          <w:tcPr>
            <w:tcW w:w="2880" w:type="dxa"/>
            <w:vAlign w:val="bottom"/>
            <w:gridSpan w:val="3"/>
          </w:tcPr>
          <w:p>
            <w:pPr>
              <w:jc w:val="right"/>
              <w:ind w:right="140"/>
              <w:spacing w:after="0"/>
              <w:rPr>
                <w:sz w:val="20"/>
                <w:szCs w:val="20"/>
                <w:color w:val="auto"/>
              </w:rPr>
            </w:pPr>
            <w:r>
              <w:rPr>
                <w:rFonts w:ascii="Arial" w:cs="Arial" w:eastAsia="Arial" w:hAnsi="Arial"/>
                <w:sz w:val="18"/>
                <w:szCs w:val="18"/>
                <w:color w:val="auto"/>
              </w:rPr>
              <w:t>20,779</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$2,380,000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8,906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1,020,000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17,812</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$ 2,040,000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right="120" w:hanging="424"/>
        <w:spacing w:after="0" w:line="253"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each of these equity awards, the intended value of each equity award was translated into a number of RSUs or PRSUs, as applicable, by dividing the intended value by $114.54, which was the average closing price of our common stock for the 30-trading-day-period ending seven days before the grant date.</w:t>
      </w:r>
    </w:p>
    <w:p>
      <w:pPr>
        <w:spacing w:after="0" w:line="1" w:lineRule="exact"/>
        <w:rPr>
          <w:rFonts w:ascii="Arial" w:cs="Arial" w:eastAsia="Arial" w:hAnsi="Arial"/>
          <w:sz w:val="16"/>
          <w:szCs w:val="16"/>
          <w:color w:val="auto"/>
        </w:rPr>
      </w:pPr>
    </w:p>
    <w:p>
      <w:pPr>
        <w:ind w:left="424" w:right="100" w:hanging="424"/>
        <w:spacing w:after="0" w:line="256"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PRSU awards are divided into three tranches with one-year performance periods covering the calendar years 2022, 2023, and 2024, respectively. One-third of the target number of PRSUs is allocated to each tranche. Two-thirds of the target number of PRSU awards are subject to performance goals to be set at a future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139065</wp:posOffset>
            </wp:positionV>
            <wp:extent cx="7012305" cy="2023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2023110"/>
                    </a:xfrm>
                    <a:prstGeom prst="rect">
                      <a:avLst/>
                    </a:prstGeom>
                    <a:noFill/>
                  </pic:spPr>
                </pic:pic>
              </a:graphicData>
            </a:graphic>
          </wp:anchor>
        </w:drawing>
      </w:r>
    </w:p>
    <w:p>
      <w:pPr>
        <w:spacing w:after="0" w:line="209" w:lineRule="exact"/>
        <w:rPr>
          <w:sz w:val="20"/>
          <w:szCs w:val="20"/>
          <w:color w:val="auto"/>
        </w:rPr>
      </w:pPr>
    </w:p>
    <w:p>
      <w:pPr>
        <w:ind w:left="164" w:right="660"/>
        <w:spacing w:after="0" w:line="269" w:lineRule="auto"/>
        <w:rPr>
          <w:sz w:val="20"/>
          <w:szCs w:val="20"/>
          <w:color w:val="auto"/>
        </w:rPr>
      </w:pPr>
      <w:r>
        <w:rPr>
          <w:rFonts w:ascii="Arial" w:cs="Arial" w:eastAsia="Arial" w:hAnsi="Arial"/>
          <w:sz w:val="18"/>
          <w:szCs w:val="18"/>
          <w:i w:val="1"/>
          <w:iCs w:val="1"/>
          <w:color w:val="FF0C07"/>
        </w:rPr>
        <w:t>Understanding the Differences: Reported PRSUs in the 2021 Summary Compensation Table vs. Target PRSUs Approved by the Compensation and Talent Committee</w:t>
      </w:r>
    </w:p>
    <w:p>
      <w:pPr>
        <w:spacing w:after="0" w:line="182" w:lineRule="exact"/>
        <w:rPr>
          <w:sz w:val="20"/>
          <w:szCs w:val="20"/>
          <w:color w:val="auto"/>
        </w:rPr>
      </w:pPr>
    </w:p>
    <w:p>
      <w:pPr>
        <w:ind w:left="164" w:right="220" w:firstLine="360"/>
        <w:spacing w:after="0" w:line="247" w:lineRule="auto"/>
        <w:rPr>
          <w:sz w:val="20"/>
          <w:szCs w:val="20"/>
          <w:color w:val="auto"/>
        </w:rPr>
      </w:pPr>
      <w:r>
        <w:rPr>
          <w:rFonts w:ascii="Arial" w:cs="Arial" w:eastAsia="Arial" w:hAnsi="Arial"/>
          <w:sz w:val="18"/>
          <w:szCs w:val="18"/>
          <w:color w:val="auto"/>
        </w:rPr>
        <w:t>As discussed above, the PRSUs awarded to our named executive officers in October 2021 vest annually over a three-year period based on the attainment of performance goals that are set and measured in each year of the three-year period. This results in differences between the reported PRSU award grant date fair value (“GDFV”) in the “</w:t>
      </w:r>
      <w:r>
        <w:rPr>
          <w:rFonts w:ascii="Arial" w:cs="Arial" w:eastAsia="Arial" w:hAnsi="Arial"/>
          <w:sz w:val="18"/>
          <w:szCs w:val="18"/>
          <w:i w:val="1"/>
          <w:iCs w:val="1"/>
          <w:color w:val="auto"/>
        </w:rPr>
        <w:t>2021 Summary Compensation Table</w:t>
      </w:r>
      <w:r>
        <w:rPr>
          <w:rFonts w:ascii="Arial" w:cs="Arial" w:eastAsia="Arial" w:hAnsi="Arial"/>
          <w:sz w:val="18"/>
          <w:szCs w:val="18"/>
          <w:color w:val="auto"/>
        </w:rPr>
        <w:t>” and the target PRSU award GDFV that was approved by the Compensation and Talent Committee.</w:t>
      </w:r>
    </w:p>
    <w:p>
      <w:pPr>
        <w:spacing w:after="0" w:line="201" w:lineRule="exact"/>
        <w:rPr>
          <w:sz w:val="20"/>
          <w:szCs w:val="20"/>
          <w:color w:val="auto"/>
        </w:rPr>
      </w:pPr>
    </w:p>
    <w:p>
      <w:pPr>
        <w:ind w:left="164" w:right="60" w:firstLine="360"/>
        <w:spacing w:after="0" w:line="257" w:lineRule="auto"/>
        <w:rPr>
          <w:sz w:val="20"/>
          <w:szCs w:val="20"/>
          <w:color w:val="auto"/>
        </w:rPr>
      </w:pPr>
      <w:r>
        <w:rPr>
          <w:rFonts w:ascii="Arial" w:cs="Arial" w:eastAsia="Arial" w:hAnsi="Arial"/>
          <w:sz w:val="17"/>
          <w:szCs w:val="17"/>
          <w:color w:val="auto"/>
        </w:rPr>
        <w:t>The differences in GDFVs are due to the SEC requirement that PRSU award values disclosed in the 2021 Summary Compensation Table reflect the GDFV of the PRSU as determined under FASB ASC Topic 718, which stipulates that grant date is established when the underlying terms of the award are fixed. Because the performance goals for the PRSU awards granted in October 2021 are set on an annual basis, the grant date and associated award fair value are established annually over the three-year performance period— resulting in differences between what is reported in the 2021 Summary Compensation Table and the amount of the award the Compensation and Talent Committee originally awarded. In years when the stock price declines, reported PRSU award GDFV will be lower than the target GDFV. In years when the stock price increases, reported PRSU award GDFV will exceed the target GDFV.</w:t>
      </w:r>
    </w:p>
    <w:p>
      <w:pPr>
        <w:spacing w:after="0" w:line="319"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02" w:lineRule="exact"/>
        <w:rPr>
          <w:sz w:val="20"/>
          <w:szCs w:val="20"/>
          <w:color w:val="auto"/>
        </w:rPr>
      </w:pPr>
    </w:p>
    <w:p>
      <w:pPr>
        <w:jc w:val="both"/>
        <w:ind w:left="4" w:right="640" w:firstLine="440"/>
        <w:spacing w:after="0" w:line="253" w:lineRule="auto"/>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401(k) plan that provides eligible employees with an opportunity to save for retirement on a tax advantaged basis. All participants’ interests in their deferrals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269" w:right="439" w:bottom="1440" w:gutter="0" w:footer="0" w:header="0"/>
        </w:sectPr>
      </w:pPr>
    </w:p>
    <w:bookmarkStart w:id="57" w:name="page58"/>
    <w:bookmarkEnd w:id="57"/>
    <w:p>
      <w:pPr>
        <w:ind w:righ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100% vested when contributed. Before the amendment to the 401(k) plan that was approved by our board of directors in April 2021, we matched 50% on the dollar up to the first 6% contributed with no vesting period, for our employees, including our named executive officers. The amendment increased the amount of the matching contribution to 100% on the dollar up to the first 6% contributed, effective as of June 1, 2021. Pre-tax contributions are allocated to each participant’s individual account and are then invested in selected investment alternatives according to the participants’ directions. The 401(k) plan is intended to qualify under Section 401(a) of the Code. As a tax-qualified retirement plan, contributions to the 401(k) plan and earnings on those contributions are not taxable to the employees until distributed from the 401(k) plan, and all contributions are deductible by us when made.</w:t>
      </w:r>
    </w:p>
    <w:p>
      <w:pPr>
        <w:spacing w:after="0" w:line="185"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2" w:lineRule="exact"/>
        <w:rPr>
          <w:sz w:val="20"/>
          <w:szCs w:val="20"/>
          <w:color w:val="auto"/>
        </w:rPr>
      </w:pPr>
    </w:p>
    <w:p>
      <w:pPr>
        <w:ind w:right="300" w:firstLine="440"/>
        <w:spacing w:after="0" w:line="244" w:lineRule="auto"/>
        <w:rPr>
          <w:sz w:val="20"/>
          <w:szCs w:val="20"/>
          <w:color w:val="auto"/>
        </w:rPr>
      </w:pPr>
      <w:r>
        <w:rPr>
          <w:rFonts w:ascii="Arial" w:cs="Arial" w:eastAsia="Arial" w:hAnsi="Arial"/>
          <w:sz w:val="18"/>
          <w:szCs w:val="18"/>
          <w:color w:val="auto"/>
        </w:rPr>
        <w:t>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and Talent Committee will approve and periodically review all future practices with respect to perquisites or other personal benefits.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 in Control and Severance Benefits</w:t>
      </w:r>
    </w:p>
    <w:p>
      <w:pPr>
        <w:spacing w:after="0" w:line="102"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Ms. Kim’s and Mr. Peters’ employment offer letters provided for certain protections in the event of termination of their employment under specified circumstances. In addition, certain equity awards granted to our named executive officers provided for acceleration of vesting upon termination of their employment under specified circumstances or upon a change in control of the Company.</w:t>
      </w:r>
    </w:p>
    <w:p>
      <w:pPr>
        <w:spacing w:after="0" w:line="152" w:lineRule="exact"/>
        <w:rPr>
          <w:sz w:val="20"/>
          <w:szCs w:val="20"/>
          <w:color w:val="auto"/>
        </w:rPr>
      </w:pPr>
    </w:p>
    <w:p>
      <w:pPr>
        <w:ind w:right="40" w:firstLine="440"/>
        <w:spacing w:after="0" w:line="256" w:lineRule="auto"/>
        <w:rPr>
          <w:sz w:val="20"/>
          <w:szCs w:val="20"/>
          <w:color w:val="auto"/>
        </w:rPr>
      </w:pPr>
      <w:r>
        <w:rPr>
          <w:rFonts w:ascii="Arial" w:cs="Arial" w:eastAsia="Arial" w:hAnsi="Arial"/>
          <w:sz w:val="17"/>
          <w:szCs w:val="17"/>
          <w:color w:val="auto"/>
        </w:rPr>
        <w:t>In 2021, in connection with its regular review of our executive compensation program and market practices, our Compensation and Talent Committee recommended that our board of directors approve updated severance and change of control benefits for our named executive officers, in order to bring the severance and change of control arrangements with our named executive officers more in line with market practices. Accordingly, our board of directors approved (i) a severance and change of control policy for our CEO in April 2021, in connection with Mr. Thakar’s appointment as CEO, and (ii) for our other named executive officers in October 2021. None of these severance and change of control benefits applied to Mr. Courtot. The severance and change of control benefits under these policies supersede any prior agreement or arrangement the named executive officers may have had with us that provided for severance and/or change in control payments or benefits (other than any existing vesting acceleration benefits upon a termination due to death or disability).</w:t>
      </w:r>
    </w:p>
    <w:p>
      <w:pPr>
        <w:spacing w:after="0" w:line="168"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Under these policies, in the event of a qualifying termination of the employment of a named executive officer that is not in connection with a change in control, the named executive officer will receive the following benefits:</w:t>
      </w:r>
    </w:p>
    <w:p>
      <w:pPr>
        <w:spacing w:after="0" w:line="59" w:lineRule="exact"/>
        <w:rPr>
          <w:sz w:val="20"/>
          <w:szCs w:val="20"/>
          <w:color w:val="auto"/>
        </w:rPr>
      </w:pPr>
    </w:p>
    <w:p>
      <w:pPr>
        <w:ind w:left="960" w:right="300" w:hanging="424"/>
        <w:spacing w:after="0" w:line="271"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severance pay equal to (i) in the case of the CEO, 12 months of the CEO’s annual base salary, or (ii) in the case of each of the other named executive officers, (A) 3 months of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69" w:right="439" w:bottom="1440" w:gutter="0" w:footer="0" w:header="0"/>
        </w:sectPr>
      </w:pPr>
    </w:p>
    <w:bookmarkStart w:id="58" w:name="page59"/>
    <w:bookmarkEnd w:id="58"/>
    <w:p>
      <w:pPr>
        <w:ind w:left="980" w:right="1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named executive officer’s annual base salary, if he or she has been employed by us for less than 1 year, (B) 6 months of the named executive officer’s annual base salary, if he or she has been employed by us for at least 1 year but not more than 5 years, or (C) 9 months of the named executive officer’s annual base salary, if he or she has been employed by us for more than 5 years; and</w:t>
      </w:r>
    </w:p>
    <w:p>
      <w:pPr>
        <w:spacing w:after="0" w:line="79" w:lineRule="exact"/>
        <w:rPr>
          <w:sz w:val="20"/>
          <w:szCs w:val="20"/>
          <w:color w:val="auto"/>
        </w:rPr>
      </w:pPr>
    </w:p>
    <w:p>
      <w:pPr>
        <w:ind w:left="960" w:hanging="424"/>
        <w:spacing w:after="0" w:line="24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w:t>
      </w:r>
    </w:p>
    <w:p>
      <w:pPr>
        <w:spacing w:after="0" w:line="174"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In the event of a qualifying termination of the employment of a named executive officer in connection with a change in control, the named executive officer will receive the following benefits:</w:t>
      </w:r>
    </w:p>
    <w:p>
      <w:pPr>
        <w:spacing w:after="0" w:line="59" w:lineRule="exact"/>
        <w:rPr>
          <w:sz w:val="20"/>
          <w:szCs w:val="20"/>
          <w:color w:val="auto"/>
        </w:rPr>
      </w:pPr>
    </w:p>
    <w:p>
      <w:pPr>
        <w:ind w:left="960" w:right="260" w:hanging="424"/>
        <w:spacing w:after="0" w:line="271"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severance pay equal to 100% (or in the CEO’s case, 150%) of the named executive officer’s annual base salary and target annual bonus;</w:t>
      </w:r>
    </w:p>
    <w:p>
      <w:pPr>
        <w:spacing w:after="0" w:line="59" w:lineRule="exact"/>
        <w:rPr>
          <w:rFonts w:ascii="Arial" w:cs="Arial" w:eastAsia="Arial" w:hAnsi="Arial"/>
          <w:sz w:val="18"/>
          <w:szCs w:val="18"/>
          <w:color w:val="auto"/>
        </w:rPr>
      </w:pPr>
    </w:p>
    <w:p>
      <w:pPr>
        <w:ind w:left="960" w:right="200" w:hanging="424"/>
        <w:spacing w:after="0" w:line="253"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or reimbursement of premiums for coverage under COBRA for the named executive officer and his or her eligible dependents, if any, for up to 12 months (or in the CEO’s case, 18 months) or taxable monthly payments for the equivalent period in the event payment of the COBRA premiums would violate or be subject to an excise tax under applicable law; and</w:t>
      </w:r>
    </w:p>
    <w:p>
      <w:pPr>
        <w:spacing w:after="0" w:line="74" w:lineRule="exact"/>
        <w:rPr>
          <w:rFonts w:ascii="Arial" w:cs="Arial" w:eastAsia="Arial" w:hAnsi="Arial"/>
          <w:sz w:val="18"/>
          <w:szCs w:val="18"/>
          <w:color w:val="auto"/>
        </w:rPr>
      </w:pPr>
    </w:p>
    <w:p>
      <w:pPr>
        <w:ind w:left="960" w:right="160" w:hanging="424"/>
        <w:spacing w:after="0" w:line="253"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accelerated vesting and exercisability as to 100% of any then-unvested equity awards (including any Overperformance Amount), with performance-based equity awards vesting at target levels of performance for future performance periods. The payout will include already achieved cumulative performance over 100% up to the end of the prior performance period.</w:t>
      </w:r>
    </w:p>
    <w:p>
      <w:pPr>
        <w:spacing w:after="0" w:line="169"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We believe that these arrangements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174" w:lineRule="exact"/>
        <w:rPr>
          <w:sz w:val="20"/>
          <w:szCs w:val="20"/>
          <w:color w:val="auto"/>
        </w:rPr>
      </w:pPr>
    </w:p>
    <w:p>
      <w:pPr>
        <w:ind w:right="220" w:firstLine="440"/>
        <w:spacing w:after="0" w:line="247" w:lineRule="auto"/>
        <w:rPr>
          <w:sz w:val="20"/>
          <w:szCs w:val="20"/>
          <w:color w:val="auto"/>
        </w:rPr>
      </w:pPr>
      <w:r>
        <w:rPr>
          <w:rFonts w:ascii="Arial" w:cs="Arial" w:eastAsia="Arial" w:hAnsi="Arial"/>
          <w:sz w:val="18"/>
          <w:szCs w:val="18"/>
          <w:color w:val="auto"/>
        </w:rPr>
        <w:t>Mr. Courtot’s termination of employment constituted a termination on account of disability, which resulted in his receipt of the applicable vesting acceleration benefits under the terms of his equity awards. The Compensation and Talent Committee did not provide Mr. Courtot with any additional payments or benefits in connection with his termination beyond those provided for under the terms of his equity awards.</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02"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We have implemented an insider trading policy that prohibits directors, officers, employees and agents (such as consultants and independent contractors) of the company as well as related parties from trading in derivative securities (including hedging) with respect to our common stock, pledging company securities as collateral, or holding company securities in a margin account.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69" w:right="47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Ownership Guidelines and Equity Holding Policy</w:t>
      </w:r>
    </w:p>
    <w:p>
      <w:pPr>
        <w:spacing w:after="0" w:line="10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executive officer is required to own a number of shares of our common stock with a value equal to a specified multiple of his or her base salary. For 2021, shares of the Company’s common stock (including shares beneficially owned) and vested and exercisable “in-the-money” stock options count towards satisfaction of the stock ownership levels. In April 2022, our board of directors approved a change to the guidelines such that only shares of the Company’s common stock (including shares beneficially owned) will count towards satisfaction of the stock ownership levels. Consistent with emerging best practices, vested and exercisable stock options will no longer be counted towards satisfying the guidelines.</w:t>
      </w:r>
    </w:p>
    <w:p>
      <w:pPr>
        <w:spacing w:after="0" w:line="180"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Each executive officer must satisfy his or her applicable ownership level by the later of (i) February 8, 2024 or (ii) five years after becoming an executive officer. Compliance with these guidelines is measured based on the executive officer’s annual base salary and the closing price of the Company’s common stock, in each case as of December 31 of each year (or the next trading day if December 31 is not a trading day). Unless and until an executive officer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In addition, all shares subject to performance-based vesting generally must be held and not disposed of for at least three years from the date of grant of the underlying award.</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33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Stock Ownership Requirement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Compliance</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3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as a Multiple of Base Salary</w:t>
            </w:r>
          </w:p>
        </w:tc>
        <w:tc>
          <w:tcPr>
            <w:tcW w:w="104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22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w:t>
            </w:r>
          </w:p>
        </w:tc>
        <w:tc>
          <w:tcPr>
            <w:tcW w:w="1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Philippe F. Courtot</w:t>
            </w:r>
          </w:p>
        </w:tc>
        <w:tc>
          <w:tcPr>
            <w:tcW w:w="562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5620" w:type="dxa"/>
            <w:vAlign w:val="bottom"/>
            <w:gridSpan w:val="3"/>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Allan Peters</w:t>
            </w:r>
          </w:p>
        </w:tc>
        <w:tc>
          <w:tcPr>
            <w:tcW w:w="562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620" w:type="dxa"/>
            <w:vAlign w:val="bottom"/>
            <w:gridSpan w:val="3"/>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93980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860" w:hanging="433"/>
        <w:spacing w:after="0"/>
        <w:tabs>
          <w:tab w:leader="none" w:pos="1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Peters became an executive officer in October 2021 and has until October 2026 to satisfy his stock ownership requirement.</w:t>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02"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We have adopted a clawback policy that prevents an executive officer from benefiting from cash-based incentive compensation or performance-based equity compensation that was paid based on the achievement of performance results that were subsequently restated as a result of the officer’s misconduct. This policy helps foster and maintain a culture that emphasizes integrity and accountability. Our clawback policy permits us to require that any of our current or former officers who is (or was) subject to Section 16 of the Exchange Act, repay certain cash-based incentive compensation or performance-based equity compensation to us if our Compensation and Talent Committee determines that such an officer’s actions caused or partially caused us to materially restate all or a portion of our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1"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and Accounting Considerations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0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154"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executives generally will not be deductible in 2021 or future years, to the extent that it exceeds $1 million.</w:t>
      </w:r>
    </w:p>
    <w:p>
      <w:pPr>
        <w:spacing w:after="0" w:line="179"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While our Compensation and Talent Committee is mindful of the benefit of being able to fully deduct the compensation paid to our executives, our Compensation and Talent Committee believes that we should retain the flexibility to compensate our executive officers in a manner that can best promote our business objectives. Therefore, our Compensation and Talent Committee intends to continue to compensate our executives in a manner consistent with the best interests of our company and our stockholders, even if such compensation is not fully deductible.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“Parachute Payments” and Deferred Compensation</w:t>
      </w:r>
    </w:p>
    <w:p>
      <w:pPr>
        <w:spacing w:after="0" w:line="102" w:lineRule="exact"/>
        <w:rPr>
          <w:sz w:val="20"/>
          <w:szCs w:val="20"/>
          <w:color w:val="auto"/>
        </w:rPr>
      </w:pPr>
    </w:p>
    <w:p>
      <w:pPr>
        <w:ind w:right="120" w:firstLine="440"/>
        <w:spacing w:after="0" w:line="244" w:lineRule="auto"/>
        <w:rPr>
          <w:sz w:val="20"/>
          <w:szCs w:val="20"/>
          <w:color w:val="auto"/>
        </w:rPr>
      </w:pPr>
      <w:r>
        <w:rPr>
          <w:rFonts w:ascii="Arial" w:cs="Arial" w:eastAsia="Arial" w:hAnsi="Arial"/>
          <w:sz w:val="18"/>
          <w:szCs w:val="18"/>
          <w:color w:val="auto"/>
        </w:rPr>
        <w:t>Under Sections 280G and 4999 of the Code, certain service providers, which may include our named executive officers, may be subject to an excise tax if they receive payments or benefits in connection with a change in control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w:t>
      </w:r>
    </w:p>
    <w:p>
      <w:pPr>
        <w:spacing w:after="0" w:line="176"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In 2021,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02" w:lineRule="exact"/>
        <w:rPr>
          <w:sz w:val="20"/>
          <w:szCs w:val="20"/>
          <w:color w:val="auto"/>
        </w:rPr>
      </w:pPr>
    </w:p>
    <w:p>
      <w:pPr>
        <w:ind w:right="140" w:firstLine="440"/>
        <w:spacing w:after="0" w:line="242" w:lineRule="auto"/>
        <w:rPr>
          <w:sz w:val="20"/>
          <w:szCs w:val="20"/>
          <w:color w:val="auto"/>
        </w:rPr>
      </w:pPr>
      <w:r>
        <w:rPr>
          <w:rFonts w:ascii="Arial" w:cs="Arial" w:eastAsia="Arial" w:hAnsi="Arial"/>
          <w:sz w:val="18"/>
          <w:szCs w:val="18"/>
          <w:color w:val="auto"/>
        </w:rPr>
        <w:t>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 Considerations</w:t>
      </w:r>
    </w:p>
    <w:p>
      <w:pPr>
        <w:spacing w:after="0" w:line="102" w:lineRule="exact"/>
        <w:rPr>
          <w:sz w:val="20"/>
          <w:szCs w:val="20"/>
          <w:color w:val="auto"/>
        </w:rPr>
      </w:pPr>
    </w:p>
    <w:p>
      <w:pPr>
        <w:ind w:right="140" w:firstLine="440"/>
        <w:spacing w:after="0" w:line="271" w:lineRule="auto"/>
        <w:rPr>
          <w:sz w:val="20"/>
          <w:szCs w:val="20"/>
          <w:color w:val="auto"/>
        </w:rPr>
      </w:pPr>
      <w:r>
        <w:rPr>
          <w:rFonts w:ascii="Arial" w:cs="Arial" w:eastAsia="Arial" w:hAnsi="Arial"/>
          <w:sz w:val="18"/>
          <w:szCs w:val="18"/>
          <w:color w:val="auto"/>
        </w:rPr>
        <w:t>Our Compensation and Talent Committee assesses risks created by the incentives inherent in our compensation policies. We have designed our executive compensation program so that our executive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6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(including our named executive officers) focus on both short-term and long-term financial and operational performance. In addition, in 2021, our Compensation and Talent Committee had engaged Mercer to independently review our executive compensation program. Our Compensation and Talent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90" w:lineRule="exact"/>
        <w:rPr>
          <w:sz w:val="20"/>
          <w:szCs w:val="20"/>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Balance among short- and long-term incentives, cash and equity, fixed and variable pay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Multiple performance metrics as targets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Caps on pay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Holding period requirement for performance-based equity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Anti-hedging policies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Double-trigger change in control requirement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06" w:lineRule="exact"/>
        <w:rPr>
          <w:sz w:val="20"/>
          <w:szCs w:val="20"/>
          <w:color w:val="auto"/>
        </w:rPr>
      </w:pPr>
    </w:p>
    <w:p>
      <w:pPr>
        <w:ind w:right="80" w:firstLine="440"/>
        <w:spacing w:after="0" w:line="252" w:lineRule="auto"/>
        <w:rPr>
          <w:sz w:val="20"/>
          <w:szCs w:val="20"/>
          <w:color w:val="auto"/>
        </w:rPr>
      </w:pPr>
      <w:r>
        <w:rPr>
          <w:rFonts w:ascii="Arial" w:cs="Arial" w:eastAsia="Arial" w:hAnsi="Arial"/>
          <w:sz w:val="18"/>
          <w:szCs w:val="18"/>
          <w:i w:val="1"/>
          <w:iCs w:val="1"/>
          <w:color w:val="auto"/>
        </w:rPr>
        <w:t>The following Compensation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69"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color w:val="auto"/>
        </w:rPr>
        <w:t>Our Compensation and Talent Committee has reviewed and discussed with management the Compensation Discussion and Analysis provided above. Based on its review and discussions, the committee recommended to our board of directors that the Compensation Discussion and Analysis be included in this proxy statement and the Company’s Annual Report on Form 10-K for the fiscal year ended December 31, 2021, filed with the SEC on February 22, 2022.</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Compensation and Talent Committee of the board of directors: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Zangardi (Chair)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William Berutti</w:t>
      </w:r>
    </w:p>
    <w:p>
      <w:pPr>
        <w:ind w:left="440"/>
        <w:spacing w:after="0" w:line="234" w:lineRule="auto"/>
        <w:rPr>
          <w:sz w:val="20"/>
          <w:szCs w:val="20"/>
          <w:color w:val="auto"/>
        </w:rPr>
      </w:pPr>
      <w:r>
        <w:rPr>
          <w:rFonts w:ascii="Arial" w:cs="Arial" w:eastAsia="Arial" w:hAnsi="Arial"/>
          <w:sz w:val="18"/>
          <w:szCs w:val="18"/>
          <w:color w:val="auto"/>
        </w:rPr>
        <w:t>General Peter Pace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Kristi M. Rogers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69" w:right="45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2021 Summary Compensation Table</w:t>
      </w:r>
    </w:p>
    <w:p>
      <w:pPr>
        <w:spacing w:after="0" w:line="104"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fiscal years 2021, 2020 and 2019.</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shd w:val="clear" w:color="auto" w:fill="FF0C07"/>
          </w:tcPr>
          <w:p>
            <w:pPr>
              <w:spacing w:after="0"/>
              <w:rPr>
                <w:sz w:val="14"/>
                <w:szCs w:val="14"/>
                <w:color w:val="auto"/>
              </w:rPr>
            </w:pPr>
          </w:p>
        </w:tc>
        <w:tc>
          <w:tcPr>
            <w:tcW w:w="1680" w:type="dxa"/>
            <w:vAlign w:val="bottom"/>
            <w:shd w:val="clear" w:color="auto" w:fill="FF0C07"/>
          </w:tcPr>
          <w:p>
            <w:pPr>
              <w:spacing w:after="0"/>
              <w:rPr>
                <w:sz w:val="14"/>
                <w:szCs w:val="14"/>
                <w:color w:val="auto"/>
              </w:rPr>
            </w:pPr>
          </w:p>
        </w:tc>
        <w:tc>
          <w:tcPr>
            <w:tcW w:w="680" w:type="dxa"/>
            <w:vAlign w:val="bottom"/>
            <w:shd w:val="clear" w:color="auto" w:fill="FF0C07"/>
          </w:tcPr>
          <w:p>
            <w:pPr>
              <w:spacing w:after="0"/>
              <w:rPr>
                <w:sz w:val="14"/>
                <w:szCs w:val="14"/>
                <w:color w:val="auto"/>
              </w:rPr>
            </w:pPr>
          </w:p>
        </w:tc>
        <w:tc>
          <w:tcPr>
            <w:tcW w:w="900" w:type="dxa"/>
            <w:vAlign w:val="bottom"/>
            <w:shd w:val="clear" w:color="auto" w:fill="FF0C07"/>
          </w:tcPr>
          <w:p>
            <w:pPr>
              <w:spacing w:after="0"/>
              <w:rPr>
                <w:sz w:val="14"/>
                <w:szCs w:val="14"/>
                <w:color w:val="auto"/>
              </w:rPr>
            </w:pPr>
          </w:p>
        </w:tc>
        <w:tc>
          <w:tcPr>
            <w:tcW w:w="1160" w:type="dxa"/>
            <w:vAlign w:val="bottom"/>
            <w:shd w:val="clear" w:color="auto" w:fill="FF0C07"/>
          </w:tcPr>
          <w:p>
            <w:pPr>
              <w:spacing w:after="0"/>
              <w:rPr>
                <w:sz w:val="14"/>
                <w:szCs w:val="14"/>
                <w:color w:val="auto"/>
              </w:rPr>
            </w:pPr>
          </w:p>
        </w:tc>
        <w:tc>
          <w:tcPr>
            <w:tcW w:w="116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Non-Equity</w:t>
            </w:r>
          </w:p>
        </w:tc>
        <w:tc>
          <w:tcPr>
            <w:tcW w:w="1400" w:type="dxa"/>
            <w:vAlign w:val="bottom"/>
            <w:shd w:val="clear" w:color="auto" w:fill="FF0C07"/>
          </w:tcPr>
          <w:p>
            <w:pPr>
              <w:spacing w:after="0"/>
              <w:rPr>
                <w:sz w:val="14"/>
                <w:szCs w:val="14"/>
                <w:color w:val="auto"/>
              </w:rPr>
            </w:pPr>
          </w:p>
        </w:tc>
        <w:tc>
          <w:tcPr>
            <w:tcW w:w="880" w:type="dxa"/>
            <w:vAlign w:val="bottom"/>
            <w:shd w:val="clear" w:color="auto" w:fill="FF0C07"/>
          </w:tcPr>
          <w:p>
            <w:pPr>
              <w:spacing w:after="0"/>
              <w:rPr>
                <w:sz w:val="14"/>
                <w:szCs w:val="14"/>
                <w:color w:val="auto"/>
              </w:rPr>
            </w:pPr>
          </w:p>
        </w:tc>
      </w:tr>
      <w:tr>
        <w:trPr>
          <w:trHeight w:val="162"/>
        </w:trPr>
        <w:tc>
          <w:tcPr>
            <w:tcW w:w="3160" w:type="dxa"/>
            <w:vAlign w:val="bottom"/>
            <w:shd w:val="clear" w:color="auto" w:fill="FF0C07"/>
          </w:tcPr>
          <w:p>
            <w:pPr>
              <w:spacing w:after="0"/>
              <w:rPr>
                <w:sz w:val="14"/>
                <w:szCs w:val="14"/>
                <w:color w:val="auto"/>
              </w:rPr>
            </w:pPr>
          </w:p>
        </w:tc>
        <w:tc>
          <w:tcPr>
            <w:tcW w:w="1680" w:type="dxa"/>
            <w:vAlign w:val="bottom"/>
            <w:shd w:val="clear" w:color="auto" w:fill="FF0C07"/>
          </w:tcPr>
          <w:p>
            <w:pPr>
              <w:spacing w:after="0"/>
              <w:rPr>
                <w:sz w:val="14"/>
                <w:szCs w:val="14"/>
                <w:color w:val="auto"/>
              </w:rPr>
            </w:pPr>
          </w:p>
        </w:tc>
        <w:tc>
          <w:tcPr>
            <w:tcW w:w="680" w:type="dxa"/>
            <w:vAlign w:val="bottom"/>
            <w:shd w:val="clear" w:color="auto" w:fill="FF0C07"/>
          </w:tcPr>
          <w:p>
            <w:pPr>
              <w:spacing w:after="0"/>
              <w:rPr>
                <w:sz w:val="14"/>
                <w:szCs w:val="14"/>
                <w:color w:val="auto"/>
              </w:rPr>
            </w:pPr>
          </w:p>
        </w:tc>
        <w:tc>
          <w:tcPr>
            <w:tcW w:w="900" w:type="dxa"/>
            <w:vAlign w:val="bottom"/>
            <w:shd w:val="clear" w:color="auto" w:fill="FF0C07"/>
          </w:tcPr>
          <w:p>
            <w:pPr>
              <w:jc w:val="center"/>
              <w:ind w:right="48"/>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FF0C07"/>
          </w:tcPr>
          <w:p>
            <w:pPr>
              <w:jc w:val="center"/>
              <w:ind w:right="153"/>
              <w:spacing w:after="0"/>
              <w:rPr>
                <w:sz w:val="20"/>
                <w:szCs w:val="20"/>
                <w:color w:val="auto"/>
              </w:rPr>
            </w:pPr>
            <w:r>
              <w:rPr>
                <w:rFonts w:ascii="Arial" w:cs="Arial" w:eastAsia="Arial" w:hAnsi="Arial"/>
                <w:sz w:val="14"/>
                <w:szCs w:val="14"/>
                <w:b w:val="1"/>
                <w:bCs w:val="1"/>
                <w:color w:val="FFFFFF"/>
                <w:w w:val="99"/>
              </w:rPr>
              <w:t>Stock</w:t>
            </w:r>
          </w:p>
        </w:tc>
        <w:tc>
          <w:tcPr>
            <w:tcW w:w="116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400" w:type="dxa"/>
            <w:vAlign w:val="bottom"/>
            <w:shd w:val="clear" w:color="auto" w:fill="FF0C07"/>
          </w:tcPr>
          <w:p>
            <w:pPr>
              <w:jc w:val="center"/>
              <w:ind w:right="174"/>
              <w:spacing w:after="0"/>
              <w:rPr>
                <w:sz w:val="20"/>
                <w:szCs w:val="20"/>
                <w:color w:val="auto"/>
              </w:rPr>
            </w:pPr>
            <w:r>
              <w:rPr>
                <w:rFonts w:ascii="Arial" w:cs="Arial" w:eastAsia="Arial" w:hAnsi="Arial"/>
                <w:sz w:val="14"/>
                <w:szCs w:val="14"/>
                <w:b w:val="1"/>
                <w:bCs w:val="1"/>
                <w:color w:val="FFFFFF"/>
              </w:rPr>
              <w:t>All Other</w:t>
            </w:r>
          </w:p>
        </w:tc>
        <w:tc>
          <w:tcPr>
            <w:tcW w:w="880" w:type="dxa"/>
            <w:vAlign w:val="bottom"/>
            <w:shd w:val="clear" w:color="auto" w:fill="FF0C07"/>
          </w:tcPr>
          <w:p>
            <w:pPr>
              <w:spacing w:after="0"/>
              <w:rPr>
                <w:sz w:val="14"/>
                <w:szCs w:val="14"/>
                <w:color w:val="auto"/>
              </w:rPr>
            </w:pPr>
          </w:p>
        </w:tc>
      </w:tr>
      <w:tr>
        <w:trPr>
          <w:trHeight w:val="157"/>
        </w:trPr>
        <w:tc>
          <w:tcPr>
            <w:tcW w:w="3160" w:type="dxa"/>
            <w:vAlign w:val="bottom"/>
            <w:shd w:val="clear" w:color="auto" w:fill="FF0C07"/>
          </w:tcPr>
          <w:p>
            <w:pPr>
              <w:spacing w:after="0"/>
              <w:rPr>
                <w:sz w:val="13"/>
                <w:szCs w:val="13"/>
                <w:color w:val="auto"/>
              </w:rPr>
            </w:pPr>
          </w:p>
        </w:tc>
        <w:tc>
          <w:tcPr>
            <w:tcW w:w="1680" w:type="dxa"/>
            <w:vAlign w:val="bottom"/>
            <w:shd w:val="clear" w:color="auto" w:fill="FF0C07"/>
          </w:tcPr>
          <w:p>
            <w:pPr>
              <w:spacing w:after="0"/>
              <w:rPr>
                <w:sz w:val="13"/>
                <w:szCs w:val="13"/>
                <w:color w:val="auto"/>
              </w:rPr>
            </w:pPr>
          </w:p>
        </w:tc>
        <w:tc>
          <w:tcPr>
            <w:tcW w:w="680" w:type="dxa"/>
            <w:vAlign w:val="bottom"/>
            <w:shd w:val="clear" w:color="auto" w:fill="FF0C07"/>
          </w:tcPr>
          <w:p>
            <w:pPr>
              <w:jc w:val="right"/>
              <w:ind w:right="68"/>
              <w:spacing w:after="0" w:line="157" w:lineRule="exact"/>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FF0C07"/>
          </w:tcPr>
          <w:p>
            <w:pPr>
              <w:jc w:val="center"/>
              <w:ind w:right="48"/>
              <w:spacing w:after="0" w:line="157" w:lineRule="exact"/>
              <w:rPr>
                <w:sz w:val="20"/>
                <w:szCs w:val="20"/>
                <w:color w:val="auto"/>
              </w:rPr>
            </w:pPr>
            <w:r>
              <w:rPr>
                <w:rFonts w:ascii="Arial" w:cs="Arial" w:eastAsia="Arial" w:hAnsi="Arial"/>
                <w:sz w:val="14"/>
                <w:szCs w:val="14"/>
                <w:b w:val="1"/>
                <w:bCs w:val="1"/>
                <w:color w:val="FFFFFF"/>
                <w:w w:val="98"/>
              </w:rPr>
              <w:t>Awards</w:t>
            </w:r>
          </w:p>
        </w:tc>
        <w:tc>
          <w:tcPr>
            <w:tcW w:w="1160" w:type="dxa"/>
            <w:vAlign w:val="bottom"/>
            <w:shd w:val="clear" w:color="auto" w:fill="FF0C07"/>
          </w:tcPr>
          <w:p>
            <w:pPr>
              <w:jc w:val="center"/>
              <w:ind w:right="173"/>
              <w:spacing w:after="0" w:line="157" w:lineRule="exact"/>
              <w:rPr>
                <w:sz w:val="20"/>
                <w:szCs w:val="20"/>
                <w:color w:val="auto"/>
              </w:rPr>
            </w:pPr>
            <w:r>
              <w:rPr>
                <w:rFonts w:ascii="Arial" w:cs="Arial" w:eastAsia="Arial" w:hAnsi="Arial"/>
                <w:sz w:val="14"/>
                <w:szCs w:val="14"/>
                <w:b w:val="1"/>
                <w:bCs w:val="1"/>
                <w:color w:val="FFFFFF"/>
              </w:rPr>
              <w:t>Awards</w:t>
            </w:r>
          </w:p>
        </w:tc>
        <w:tc>
          <w:tcPr>
            <w:tcW w:w="1160" w:type="dxa"/>
            <w:vAlign w:val="bottom"/>
            <w:shd w:val="clear" w:color="auto" w:fill="FF0C07"/>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1400" w:type="dxa"/>
            <w:vAlign w:val="bottom"/>
            <w:shd w:val="clear" w:color="auto" w:fill="FF0C07"/>
          </w:tcPr>
          <w:p>
            <w:pPr>
              <w:jc w:val="center"/>
              <w:ind w:right="174"/>
              <w:spacing w:after="0" w:line="157" w:lineRule="exact"/>
              <w:rPr>
                <w:sz w:val="20"/>
                <w:szCs w:val="20"/>
                <w:color w:val="auto"/>
              </w:rPr>
            </w:pPr>
            <w:r>
              <w:rPr>
                <w:rFonts w:ascii="Arial" w:cs="Arial" w:eastAsia="Arial" w:hAnsi="Arial"/>
                <w:sz w:val="14"/>
                <w:szCs w:val="14"/>
                <w:b w:val="1"/>
                <w:bCs w:val="1"/>
                <w:color w:val="FFFFFF"/>
              </w:rPr>
              <w:t>Compensation</w:t>
            </w:r>
          </w:p>
        </w:tc>
        <w:tc>
          <w:tcPr>
            <w:tcW w:w="880" w:type="dxa"/>
            <w:vAlign w:val="bottom"/>
            <w:shd w:val="clear" w:color="auto" w:fill="FF0C07"/>
          </w:tcPr>
          <w:p>
            <w:pPr>
              <w:jc w:val="right"/>
              <w:ind w:right="188"/>
              <w:spacing w:after="0" w:line="157" w:lineRule="exact"/>
              <w:rPr>
                <w:sz w:val="20"/>
                <w:szCs w:val="20"/>
                <w:color w:val="auto"/>
              </w:rPr>
            </w:pPr>
            <w:r>
              <w:rPr>
                <w:rFonts w:ascii="Arial" w:cs="Arial" w:eastAsia="Arial" w:hAnsi="Arial"/>
                <w:sz w:val="14"/>
                <w:szCs w:val="14"/>
                <w:b w:val="1"/>
                <w:bCs w:val="1"/>
                <w:color w:val="FFFFFF"/>
              </w:rPr>
              <w:t>Total</w:t>
            </w:r>
          </w:p>
        </w:tc>
      </w:tr>
      <w:tr>
        <w:trPr>
          <w:trHeight w:val="190"/>
        </w:trPr>
        <w:tc>
          <w:tcPr>
            <w:tcW w:w="316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 and Principal Position</w:t>
            </w:r>
          </w:p>
        </w:tc>
        <w:tc>
          <w:tcPr>
            <w:tcW w:w="1680" w:type="dxa"/>
            <w:vAlign w:val="bottom"/>
            <w:shd w:val="clear" w:color="auto" w:fill="FF0C07"/>
          </w:tcPr>
          <w:p>
            <w:pPr>
              <w:ind w:left="1240"/>
              <w:spacing w:after="0"/>
              <w:rPr>
                <w:sz w:val="20"/>
                <w:szCs w:val="20"/>
                <w:color w:val="auto"/>
              </w:rPr>
            </w:pPr>
            <w:r>
              <w:rPr>
                <w:rFonts w:ascii="Arial" w:cs="Arial" w:eastAsia="Arial" w:hAnsi="Arial"/>
                <w:sz w:val="14"/>
                <w:szCs w:val="14"/>
                <w:b w:val="1"/>
                <w:bCs w:val="1"/>
                <w:color w:val="FFFFFF"/>
              </w:rPr>
              <w:t>Year</w:t>
            </w:r>
          </w:p>
        </w:tc>
        <w:tc>
          <w:tcPr>
            <w:tcW w:w="680" w:type="dxa"/>
            <w:vAlign w:val="bottom"/>
            <w:shd w:val="clear" w:color="auto" w:fill="FF0C07"/>
          </w:tcPr>
          <w:p>
            <w:pPr>
              <w:jc w:val="right"/>
              <w:ind w:right="18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FF0C07"/>
          </w:tcPr>
          <w:p>
            <w:pPr>
              <w:jc w:val="center"/>
              <w:ind w:right="48"/>
              <w:spacing w:after="0" w:line="190"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2"/>
                <w:szCs w:val="22"/>
                <w:b w:val="1"/>
                <w:bCs w:val="1"/>
                <w:color w:val="FFFFFF"/>
                <w:vertAlign w:val="superscript"/>
              </w:rPr>
              <w:t>(1)</w:t>
            </w:r>
          </w:p>
        </w:tc>
        <w:tc>
          <w:tcPr>
            <w:tcW w:w="1160" w:type="dxa"/>
            <w:vAlign w:val="bottom"/>
            <w:shd w:val="clear" w:color="auto" w:fill="FF0C07"/>
          </w:tcPr>
          <w:p>
            <w:pPr>
              <w:jc w:val="center"/>
              <w:ind w:right="153"/>
              <w:spacing w:after="0" w:line="190"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2"/>
                <w:szCs w:val="22"/>
                <w:b w:val="1"/>
                <w:bCs w:val="1"/>
                <w:color w:val="FFFFFF"/>
                <w:vertAlign w:val="superscript"/>
              </w:rPr>
              <w:t>(1)</w:t>
            </w:r>
          </w:p>
        </w:tc>
        <w:tc>
          <w:tcPr>
            <w:tcW w:w="1160" w:type="dxa"/>
            <w:vAlign w:val="bottom"/>
            <w:shd w:val="clear" w:color="auto" w:fill="FF0C07"/>
          </w:tcPr>
          <w:p>
            <w:pPr>
              <w:jc w:val="center"/>
              <w:spacing w:after="0" w:line="190" w:lineRule="exact"/>
              <w:rPr>
                <w:sz w:val="20"/>
                <w:szCs w:val="20"/>
                <w:color w:val="auto"/>
              </w:rPr>
            </w:pPr>
            <w:r>
              <w:rPr>
                <w:rFonts w:ascii="Arial" w:cs="Arial" w:eastAsia="Arial" w:hAnsi="Arial"/>
                <w:sz w:val="13"/>
                <w:szCs w:val="13"/>
                <w:b w:val="1"/>
                <w:bCs w:val="1"/>
                <w:color w:val="FFFFFF"/>
                <w:w w:val="94"/>
              </w:rPr>
              <w:t>($)</w:t>
            </w:r>
            <w:r>
              <w:rPr>
                <w:rFonts w:ascii="Arial" w:cs="Arial" w:eastAsia="Arial" w:hAnsi="Arial"/>
                <w:sz w:val="22"/>
                <w:szCs w:val="22"/>
                <w:b w:val="1"/>
                <w:bCs w:val="1"/>
                <w:color w:val="FFFFFF"/>
                <w:w w:val="94"/>
                <w:vertAlign w:val="superscript"/>
              </w:rPr>
              <w:t>(2)</w:t>
            </w:r>
          </w:p>
        </w:tc>
        <w:tc>
          <w:tcPr>
            <w:tcW w:w="1400" w:type="dxa"/>
            <w:vAlign w:val="bottom"/>
            <w:shd w:val="clear" w:color="auto" w:fill="FF0C07"/>
          </w:tcPr>
          <w:p>
            <w:pPr>
              <w:jc w:val="center"/>
              <w:ind w:right="194"/>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FF0C07"/>
          </w:tcPr>
          <w:p>
            <w:pPr>
              <w:jc w:val="right"/>
              <w:ind w:right="268"/>
              <w:spacing w:after="0"/>
              <w:rPr>
                <w:sz w:val="20"/>
                <w:szCs w:val="20"/>
                <w:color w:val="auto"/>
              </w:rPr>
            </w:pPr>
            <w:r>
              <w:rPr>
                <w:rFonts w:ascii="Arial" w:cs="Arial" w:eastAsia="Arial" w:hAnsi="Arial"/>
                <w:sz w:val="14"/>
                <w:szCs w:val="14"/>
                <w:b w:val="1"/>
                <w:bCs w:val="1"/>
                <w:color w:val="FFFFFF"/>
              </w:rPr>
              <w:t>($)</w:t>
            </w:r>
          </w:p>
        </w:tc>
      </w:tr>
      <w:tr>
        <w:trPr>
          <w:trHeight w:val="153"/>
        </w:trPr>
        <w:tc>
          <w:tcPr>
            <w:tcW w:w="3160" w:type="dxa"/>
            <w:vAlign w:val="bottom"/>
          </w:tcPr>
          <w:p>
            <w:pPr>
              <w:spacing w:after="0" w:line="153" w:lineRule="exact"/>
              <w:rPr>
                <w:sz w:val="20"/>
                <w:szCs w:val="20"/>
                <w:color w:val="auto"/>
              </w:rPr>
            </w:pPr>
            <w:r>
              <w:rPr>
                <w:rFonts w:ascii="Arial" w:cs="Arial" w:eastAsia="Arial" w:hAnsi="Arial"/>
                <w:sz w:val="14"/>
                <w:szCs w:val="14"/>
                <w:color w:val="auto"/>
              </w:rPr>
              <w:t>Sumedh S. Thakar</w:t>
            </w:r>
          </w:p>
        </w:tc>
        <w:tc>
          <w:tcPr>
            <w:tcW w:w="1680" w:type="dxa"/>
            <w:vAlign w:val="bottom"/>
          </w:tcPr>
          <w:p>
            <w:pPr>
              <w:ind w:left="1260"/>
              <w:spacing w:after="0" w:line="153" w:lineRule="exact"/>
              <w:rPr>
                <w:sz w:val="20"/>
                <w:szCs w:val="20"/>
                <w:color w:val="auto"/>
              </w:rPr>
            </w:pPr>
            <w:r>
              <w:rPr>
                <w:rFonts w:ascii="Arial" w:cs="Arial" w:eastAsia="Arial" w:hAnsi="Arial"/>
                <w:sz w:val="14"/>
                <w:szCs w:val="14"/>
                <w:color w:val="auto"/>
              </w:rPr>
              <w:t>2021</w:t>
            </w: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502,308</w:t>
            </w:r>
          </w:p>
        </w:tc>
        <w:tc>
          <w:tcPr>
            <w:tcW w:w="90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93"/>
              <w:spacing w:after="0" w:line="153" w:lineRule="exact"/>
              <w:rPr>
                <w:sz w:val="20"/>
                <w:szCs w:val="20"/>
                <w:color w:val="auto"/>
              </w:rPr>
            </w:pPr>
            <w:r>
              <w:rPr>
                <w:rFonts w:ascii="Arial" w:cs="Arial" w:eastAsia="Arial" w:hAnsi="Arial"/>
                <w:sz w:val="11"/>
                <w:szCs w:val="11"/>
                <w:color w:val="auto"/>
              </w:rPr>
              <w:t>8,364,620</w:t>
            </w:r>
            <w:r>
              <w:rPr>
                <w:rFonts w:ascii="Arial" w:cs="Arial" w:eastAsia="Arial" w:hAnsi="Arial"/>
                <w:sz w:val="17"/>
                <w:szCs w:val="17"/>
                <w:color w:val="auto"/>
                <w:vertAlign w:val="superscript"/>
              </w:rPr>
              <w:t>(3)</w:t>
            </w:r>
          </w:p>
        </w:tc>
        <w:tc>
          <w:tcPr>
            <w:tcW w:w="1160" w:type="dxa"/>
            <w:vAlign w:val="bottom"/>
          </w:tcPr>
          <w:p>
            <w:pPr>
              <w:jc w:val="right"/>
              <w:ind w:right="8"/>
              <w:spacing w:after="0" w:line="153" w:lineRule="exact"/>
              <w:rPr>
                <w:sz w:val="20"/>
                <w:szCs w:val="20"/>
                <w:color w:val="auto"/>
              </w:rPr>
            </w:pPr>
            <w:r>
              <w:rPr>
                <w:rFonts w:ascii="Arial" w:cs="Arial" w:eastAsia="Arial" w:hAnsi="Arial"/>
                <w:sz w:val="14"/>
                <w:szCs w:val="14"/>
                <w:color w:val="auto"/>
              </w:rPr>
              <w:t>512,500</w:t>
            </w:r>
          </w:p>
        </w:tc>
        <w:tc>
          <w:tcPr>
            <w:tcW w:w="1400" w:type="dxa"/>
            <w:vAlign w:val="bottom"/>
          </w:tcPr>
          <w:p>
            <w:pPr>
              <w:jc w:val="right"/>
              <w:ind w:right="94"/>
              <w:spacing w:after="0" w:line="153" w:lineRule="exact"/>
              <w:rPr>
                <w:sz w:val="20"/>
                <w:szCs w:val="20"/>
                <w:color w:val="auto"/>
              </w:rPr>
            </w:pPr>
            <w:r>
              <w:rPr>
                <w:rFonts w:ascii="Arial" w:cs="Arial" w:eastAsia="Arial" w:hAnsi="Arial"/>
                <w:sz w:val="11"/>
                <w:szCs w:val="11"/>
                <w:color w:val="auto"/>
              </w:rPr>
              <w:t>17,237</w:t>
            </w:r>
            <w:r>
              <w:rPr>
                <w:rFonts w:ascii="Arial" w:cs="Arial" w:eastAsia="Arial" w:hAnsi="Arial"/>
                <w:sz w:val="17"/>
                <w:szCs w:val="17"/>
                <w:color w:val="auto"/>
                <w:vertAlign w:val="superscript"/>
              </w:rPr>
              <w:t>(4)</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9,396,664</w:t>
            </w:r>
          </w:p>
        </w:tc>
      </w:tr>
      <w:tr>
        <w:trPr>
          <w:trHeight w:val="162"/>
        </w:trPr>
        <w:tc>
          <w:tcPr>
            <w:tcW w:w="3160" w:type="dxa"/>
            <w:vAlign w:val="bottom"/>
          </w:tcPr>
          <w:p>
            <w:pPr>
              <w:ind w:left="280"/>
              <w:spacing w:after="0"/>
              <w:rPr>
                <w:sz w:val="20"/>
                <w:szCs w:val="20"/>
                <w:color w:val="auto"/>
              </w:rPr>
            </w:pPr>
            <w:r>
              <w:rPr>
                <w:rFonts w:ascii="Arial" w:cs="Arial" w:eastAsia="Arial" w:hAnsi="Arial"/>
                <w:sz w:val="14"/>
                <w:szCs w:val="14"/>
                <w:color w:val="auto"/>
              </w:rPr>
              <w:t>Director, President and</w:t>
            </w:r>
          </w:p>
        </w:tc>
        <w:tc>
          <w:tcPr>
            <w:tcW w:w="1680" w:type="dxa"/>
            <w:vAlign w:val="bottom"/>
          </w:tcPr>
          <w:p>
            <w:pPr>
              <w:ind w:left="1260"/>
              <w:spacing w:after="0"/>
              <w:rPr>
                <w:sz w:val="20"/>
                <w:szCs w:val="20"/>
                <w:color w:val="auto"/>
              </w:rPr>
            </w:pPr>
            <w:r>
              <w:rPr>
                <w:rFonts w:ascii="Arial" w:cs="Arial" w:eastAsia="Arial" w:hAnsi="Arial"/>
                <w:sz w:val="14"/>
                <w:szCs w:val="14"/>
                <w:color w:val="auto"/>
              </w:rPr>
              <w:t>2020</w:t>
            </w:r>
          </w:p>
        </w:tc>
        <w:tc>
          <w:tcPr>
            <w:tcW w:w="680" w:type="dxa"/>
            <w:vAlign w:val="bottom"/>
          </w:tcPr>
          <w:p>
            <w:pPr>
              <w:jc w:val="right"/>
              <w:spacing w:after="0"/>
              <w:rPr>
                <w:sz w:val="20"/>
                <w:szCs w:val="20"/>
                <w:color w:val="auto"/>
              </w:rPr>
            </w:pPr>
            <w:r>
              <w:rPr>
                <w:rFonts w:ascii="Arial" w:cs="Arial" w:eastAsia="Arial" w:hAnsi="Arial"/>
                <w:sz w:val="14"/>
                <w:szCs w:val="14"/>
                <w:color w:val="auto"/>
              </w:rPr>
              <w:t>382,500</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3"/>
              <w:spacing w:after="0"/>
              <w:rPr>
                <w:sz w:val="20"/>
                <w:szCs w:val="20"/>
                <w:color w:val="auto"/>
              </w:rPr>
            </w:pPr>
            <w:r>
              <w:rPr>
                <w:rFonts w:ascii="Arial" w:cs="Arial" w:eastAsia="Arial" w:hAnsi="Arial"/>
                <w:sz w:val="14"/>
                <w:szCs w:val="14"/>
                <w:color w:val="auto"/>
              </w:rPr>
              <w:t>7,786,016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189,662</w:t>
            </w:r>
          </w:p>
        </w:tc>
        <w:tc>
          <w:tcPr>
            <w:tcW w:w="1400" w:type="dxa"/>
            <w:vAlign w:val="bottom"/>
          </w:tcPr>
          <w:p>
            <w:pPr>
              <w:jc w:val="right"/>
              <w:ind w:right="254"/>
              <w:spacing w:after="0"/>
              <w:rPr>
                <w:sz w:val="20"/>
                <w:szCs w:val="20"/>
                <w:color w:val="auto"/>
              </w:rPr>
            </w:pPr>
            <w:r>
              <w:rPr>
                <w:rFonts w:ascii="Arial" w:cs="Arial" w:eastAsia="Arial" w:hAnsi="Arial"/>
                <w:sz w:val="14"/>
                <w:szCs w:val="14"/>
                <w:color w:val="auto"/>
              </w:rPr>
              <w:t>9,991</w:t>
            </w:r>
          </w:p>
        </w:tc>
        <w:tc>
          <w:tcPr>
            <w:tcW w:w="880" w:type="dxa"/>
            <w:vAlign w:val="bottom"/>
          </w:tcPr>
          <w:p>
            <w:pPr>
              <w:jc w:val="right"/>
              <w:spacing w:after="0"/>
              <w:rPr>
                <w:sz w:val="20"/>
                <w:szCs w:val="20"/>
                <w:color w:val="auto"/>
              </w:rPr>
            </w:pPr>
            <w:r>
              <w:rPr>
                <w:rFonts w:ascii="Arial" w:cs="Arial" w:eastAsia="Arial" w:hAnsi="Arial"/>
                <w:sz w:val="14"/>
                <w:szCs w:val="14"/>
                <w:color w:val="auto"/>
              </w:rPr>
              <w:t>8,368,169</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Chief Executive Officer</w:t>
            </w:r>
          </w:p>
        </w:tc>
        <w:tc>
          <w:tcPr>
            <w:tcW w:w="1680" w:type="dxa"/>
            <w:vAlign w:val="bottom"/>
            <w:tcBorders>
              <w:bottom w:val="single" w:sz="8" w:color="FF0C07"/>
            </w:tcBorders>
          </w:tcPr>
          <w:p>
            <w:pPr>
              <w:ind w:left="126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335,125</w:t>
            </w:r>
          </w:p>
        </w:tc>
        <w:tc>
          <w:tcPr>
            <w:tcW w:w="900" w:type="dxa"/>
            <w:vAlign w:val="bottom"/>
            <w:tcBorders>
              <w:bottom w:val="single" w:sz="8" w:color="FF0C07"/>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F0C07"/>
            </w:tcBorders>
          </w:tcPr>
          <w:p>
            <w:pPr>
              <w:jc w:val="right"/>
              <w:ind w:right="233"/>
              <w:spacing w:after="0"/>
              <w:rPr>
                <w:sz w:val="20"/>
                <w:szCs w:val="20"/>
                <w:color w:val="auto"/>
              </w:rPr>
            </w:pPr>
            <w:r>
              <w:rPr>
                <w:rFonts w:ascii="Arial" w:cs="Arial" w:eastAsia="Arial" w:hAnsi="Arial"/>
                <w:sz w:val="14"/>
                <w:szCs w:val="14"/>
                <w:color w:val="auto"/>
              </w:rPr>
              <w:t>6,536,835</w:t>
            </w:r>
          </w:p>
        </w:tc>
        <w:tc>
          <w:tcPr>
            <w:tcW w:w="1160" w:type="dxa"/>
            <w:vAlign w:val="bottom"/>
            <w:tcBorders>
              <w:bottom w:val="single" w:sz="8" w:color="FF0C07"/>
            </w:tcBorders>
          </w:tcPr>
          <w:p>
            <w:pPr>
              <w:jc w:val="right"/>
              <w:ind w:right="8"/>
              <w:spacing w:after="0"/>
              <w:rPr>
                <w:sz w:val="20"/>
                <w:szCs w:val="20"/>
                <w:color w:val="auto"/>
              </w:rPr>
            </w:pPr>
            <w:r>
              <w:rPr>
                <w:rFonts w:ascii="Arial" w:cs="Arial" w:eastAsia="Arial" w:hAnsi="Arial"/>
                <w:sz w:val="14"/>
                <w:szCs w:val="14"/>
                <w:color w:val="auto"/>
              </w:rPr>
              <w:t>137,094</w:t>
            </w:r>
          </w:p>
        </w:tc>
        <w:tc>
          <w:tcPr>
            <w:tcW w:w="1400" w:type="dxa"/>
            <w:vAlign w:val="bottom"/>
            <w:tcBorders>
              <w:bottom w:val="single" w:sz="8" w:color="FF0C07"/>
            </w:tcBorders>
          </w:tcPr>
          <w:p>
            <w:pPr>
              <w:jc w:val="right"/>
              <w:ind w:right="254"/>
              <w:spacing w:after="0"/>
              <w:rPr>
                <w:sz w:val="20"/>
                <w:szCs w:val="20"/>
                <w:color w:val="auto"/>
              </w:rPr>
            </w:pPr>
            <w:r>
              <w:rPr>
                <w:rFonts w:ascii="Arial" w:cs="Arial" w:eastAsia="Arial" w:hAnsi="Arial"/>
                <w:sz w:val="14"/>
                <w:szCs w:val="14"/>
                <w:color w:val="auto"/>
              </w:rPr>
              <w:t>12,361</w:t>
            </w:r>
          </w:p>
        </w:tc>
        <w:tc>
          <w:tcPr>
            <w:tcW w:w="8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7,021,415</w:t>
            </w: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0"/>
                <w:szCs w:val="10"/>
                <w:color w:val="auto"/>
              </w:rPr>
              <w:t xml:space="preserve">Philippe F. Courtot </w:t>
            </w:r>
            <w:r>
              <w:rPr>
                <w:rFonts w:ascii="Arial" w:cs="Arial" w:eastAsia="Arial" w:hAnsi="Arial"/>
                <w:sz w:val="16"/>
                <w:szCs w:val="16"/>
                <w:color w:val="auto"/>
                <w:vertAlign w:val="superscript"/>
              </w:rPr>
              <w:t>(5)</w:t>
            </w:r>
          </w:p>
        </w:tc>
        <w:tc>
          <w:tcPr>
            <w:tcW w:w="1680" w:type="dxa"/>
            <w:vAlign w:val="bottom"/>
          </w:tcPr>
          <w:p>
            <w:pPr>
              <w:ind w:left="1260"/>
              <w:spacing w:after="0" w:line="147" w:lineRule="exact"/>
              <w:rPr>
                <w:sz w:val="20"/>
                <w:szCs w:val="20"/>
                <w:color w:val="auto"/>
              </w:rPr>
            </w:pPr>
            <w:r>
              <w:rPr>
                <w:rFonts w:ascii="Arial" w:cs="Arial" w:eastAsia="Arial" w:hAnsi="Arial"/>
                <w:sz w:val="14"/>
                <w:szCs w:val="14"/>
                <w:color w:val="auto"/>
              </w:rPr>
              <w:t>2021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152,596</w:t>
            </w:r>
          </w:p>
        </w:tc>
        <w:tc>
          <w:tcPr>
            <w:tcW w:w="90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13"/>
              <w:spacing w:after="0" w:line="14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94"/>
              <w:spacing w:after="0" w:line="146" w:lineRule="exact"/>
              <w:rPr>
                <w:sz w:val="20"/>
                <w:szCs w:val="20"/>
                <w:color w:val="auto"/>
              </w:rPr>
            </w:pPr>
            <w:r>
              <w:rPr>
                <w:rFonts w:ascii="Arial" w:cs="Arial" w:eastAsia="Arial" w:hAnsi="Arial"/>
                <w:sz w:val="10"/>
                <w:szCs w:val="10"/>
                <w:color w:val="auto"/>
              </w:rPr>
              <w:t>20,722,515</w:t>
            </w:r>
            <w:r>
              <w:rPr>
                <w:rFonts w:ascii="Arial" w:cs="Arial" w:eastAsia="Arial" w:hAnsi="Arial"/>
                <w:sz w:val="16"/>
                <w:szCs w:val="16"/>
                <w:color w:val="auto"/>
                <w:vertAlign w:val="superscript"/>
              </w:rPr>
              <w:t>(6)</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20,875,111</w:t>
            </w:r>
          </w:p>
        </w:tc>
      </w:tr>
      <w:tr>
        <w:trPr>
          <w:trHeight w:val="162"/>
        </w:trPr>
        <w:tc>
          <w:tcPr>
            <w:tcW w:w="3160" w:type="dxa"/>
            <w:vAlign w:val="bottom"/>
          </w:tcPr>
          <w:p>
            <w:pPr>
              <w:ind w:left="280"/>
              <w:spacing w:after="0"/>
              <w:rPr>
                <w:sz w:val="20"/>
                <w:szCs w:val="20"/>
                <w:color w:val="auto"/>
              </w:rPr>
            </w:pPr>
            <w:r>
              <w:rPr>
                <w:rFonts w:ascii="Arial" w:cs="Arial" w:eastAsia="Arial" w:hAnsi="Arial"/>
                <w:sz w:val="14"/>
                <w:szCs w:val="14"/>
                <w:i w:val="1"/>
                <w:iCs w:val="1"/>
                <w:color w:val="auto"/>
              </w:rPr>
              <w:t>Former Chief Executive</w:t>
            </w:r>
          </w:p>
        </w:tc>
        <w:tc>
          <w:tcPr>
            <w:tcW w:w="1680" w:type="dxa"/>
            <w:vAlign w:val="bottom"/>
          </w:tcPr>
          <w:p>
            <w:pPr>
              <w:ind w:left="1260"/>
              <w:spacing w:after="0"/>
              <w:rPr>
                <w:sz w:val="20"/>
                <w:szCs w:val="20"/>
                <w:color w:val="auto"/>
              </w:rPr>
            </w:pPr>
            <w:r>
              <w:rPr>
                <w:rFonts w:ascii="Arial" w:cs="Arial" w:eastAsia="Arial" w:hAnsi="Arial"/>
                <w:sz w:val="14"/>
                <w:szCs w:val="14"/>
                <w:color w:val="auto"/>
              </w:rPr>
              <w:t>2020</w:t>
            </w:r>
          </w:p>
        </w:tc>
        <w:tc>
          <w:tcPr>
            <w:tcW w:w="680" w:type="dxa"/>
            <w:vAlign w:val="bottom"/>
          </w:tcPr>
          <w:p>
            <w:pPr>
              <w:jc w:val="right"/>
              <w:spacing w:after="0"/>
              <w:rPr>
                <w:sz w:val="20"/>
                <w:szCs w:val="20"/>
                <w:color w:val="auto"/>
              </w:rPr>
            </w:pPr>
            <w:r>
              <w:rPr>
                <w:rFonts w:ascii="Arial" w:cs="Arial" w:eastAsia="Arial" w:hAnsi="Arial"/>
                <w:sz w:val="14"/>
                <w:szCs w:val="14"/>
                <w:color w:val="auto"/>
              </w:rPr>
              <w:t>418,333</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11,526,569</w:t>
            </w:r>
          </w:p>
        </w:tc>
        <w:tc>
          <w:tcPr>
            <w:tcW w:w="1160" w:type="dxa"/>
            <w:vAlign w:val="bottom"/>
          </w:tcPr>
          <w:p>
            <w:pPr>
              <w:jc w:val="right"/>
              <w:ind w:right="233"/>
              <w:spacing w:after="0"/>
              <w:rPr>
                <w:sz w:val="20"/>
                <w:szCs w:val="20"/>
                <w:color w:val="auto"/>
              </w:rPr>
            </w:pPr>
            <w:r>
              <w:rPr>
                <w:rFonts w:ascii="Arial" w:cs="Arial" w:eastAsia="Arial" w:hAnsi="Arial"/>
                <w:sz w:val="14"/>
                <w:szCs w:val="14"/>
                <w:color w:val="auto"/>
              </w:rPr>
              <w:t>10,033,788</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416,144</w:t>
            </w:r>
          </w:p>
        </w:tc>
        <w:tc>
          <w:tcPr>
            <w:tcW w:w="1400" w:type="dxa"/>
            <w:vAlign w:val="bottom"/>
          </w:tcPr>
          <w:p>
            <w:pPr>
              <w:jc w:val="right"/>
              <w:ind w:right="254"/>
              <w:spacing w:after="0"/>
              <w:rPr>
                <w:sz w:val="20"/>
                <w:szCs w:val="20"/>
                <w:color w:val="auto"/>
              </w:rPr>
            </w:pPr>
            <w:r>
              <w:rPr>
                <w:rFonts w:ascii="Arial" w:cs="Arial" w:eastAsia="Arial" w:hAnsi="Arial"/>
                <w:sz w:val="14"/>
                <w:szCs w:val="14"/>
                <w:color w:val="auto"/>
              </w:rPr>
              <w:t>3,517</w:t>
            </w:r>
          </w:p>
        </w:tc>
        <w:tc>
          <w:tcPr>
            <w:tcW w:w="880" w:type="dxa"/>
            <w:vAlign w:val="bottom"/>
          </w:tcPr>
          <w:p>
            <w:pPr>
              <w:jc w:val="right"/>
              <w:spacing w:after="0"/>
              <w:rPr>
                <w:sz w:val="20"/>
                <w:szCs w:val="20"/>
                <w:color w:val="auto"/>
              </w:rPr>
            </w:pPr>
            <w:r>
              <w:rPr>
                <w:rFonts w:ascii="Arial" w:cs="Arial" w:eastAsia="Arial" w:hAnsi="Arial"/>
                <w:sz w:val="14"/>
                <w:szCs w:val="14"/>
                <w:color w:val="auto"/>
              </w:rPr>
              <w:t>22,398,351</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i w:val="1"/>
                <w:iCs w:val="1"/>
                <w:color w:val="auto"/>
              </w:rPr>
              <w:t>Officer</w:t>
            </w:r>
          </w:p>
        </w:tc>
        <w:tc>
          <w:tcPr>
            <w:tcW w:w="1680" w:type="dxa"/>
            <w:vAlign w:val="bottom"/>
            <w:tcBorders>
              <w:bottom w:val="single" w:sz="8" w:color="FF0C07"/>
            </w:tcBorders>
          </w:tcPr>
          <w:p>
            <w:pPr>
              <w:ind w:left="126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381,938</w:t>
            </w:r>
          </w:p>
        </w:tc>
        <w:tc>
          <w:tcPr>
            <w:tcW w:w="900" w:type="dxa"/>
            <w:vAlign w:val="bottom"/>
            <w:tcBorders>
              <w:bottom w:val="single" w:sz="8" w:color="FF0C07"/>
            </w:tcBorders>
          </w:tcPr>
          <w:p>
            <w:pPr>
              <w:jc w:val="right"/>
              <w:ind w:right="68"/>
              <w:spacing w:after="0"/>
              <w:rPr>
                <w:sz w:val="20"/>
                <w:szCs w:val="20"/>
                <w:color w:val="auto"/>
              </w:rPr>
            </w:pPr>
            <w:r>
              <w:rPr>
                <w:rFonts w:ascii="Arial" w:cs="Arial" w:eastAsia="Arial" w:hAnsi="Arial"/>
                <w:sz w:val="14"/>
                <w:szCs w:val="14"/>
                <w:color w:val="auto"/>
              </w:rPr>
              <w:t>4,934,423</w:t>
            </w:r>
          </w:p>
        </w:tc>
        <w:tc>
          <w:tcPr>
            <w:tcW w:w="1160" w:type="dxa"/>
            <w:vAlign w:val="bottom"/>
            <w:tcBorders>
              <w:bottom w:val="single" w:sz="8" w:color="FF0C07"/>
            </w:tcBorders>
          </w:tcPr>
          <w:p>
            <w:pPr>
              <w:jc w:val="right"/>
              <w:ind w:right="233"/>
              <w:spacing w:after="0"/>
              <w:rPr>
                <w:sz w:val="20"/>
                <w:szCs w:val="20"/>
                <w:color w:val="auto"/>
              </w:rPr>
            </w:pPr>
            <w:r>
              <w:rPr>
                <w:rFonts w:ascii="Arial" w:cs="Arial" w:eastAsia="Arial" w:hAnsi="Arial"/>
                <w:sz w:val="14"/>
                <w:szCs w:val="14"/>
                <w:color w:val="auto"/>
              </w:rPr>
              <w:t>4,203,777</w:t>
            </w:r>
          </w:p>
        </w:tc>
        <w:tc>
          <w:tcPr>
            <w:tcW w:w="1160" w:type="dxa"/>
            <w:vAlign w:val="bottom"/>
            <w:tcBorders>
              <w:bottom w:val="single" w:sz="8" w:color="FF0C07"/>
            </w:tcBorders>
          </w:tcPr>
          <w:p>
            <w:pPr>
              <w:jc w:val="right"/>
              <w:ind w:right="8"/>
              <w:spacing w:after="0"/>
              <w:rPr>
                <w:sz w:val="20"/>
                <w:szCs w:val="20"/>
                <w:color w:val="auto"/>
              </w:rPr>
            </w:pPr>
            <w:r>
              <w:rPr>
                <w:rFonts w:ascii="Arial" w:cs="Arial" w:eastAsia="Arial" w:hAnsi="Arial"/>
                <w:sz w:val="14"/>
                <w:szCs w:val="14"/>
                <w:color w:val="auto"/>
              </w:rPr>
              <w:t>312,792</w:t>
            </w:r>
          </w:p>
        </w:tc>
        <w:tc>
          <w:tcPr>
            <w:tcW w:w="1400" w:type="dxa"/>
            <w:vAlign w:val="bottom"/>
            <w:tcBorders>
              <w:bottom w:val="single" w:sz="8" w:color="FF0C07"/>
            </w:tcBorders>
          </w:tcPr>
          <w:p>
            <w:pPr>
              <w:jc w:val="right"/>
              <w:ind w:right="254"/>
              <w:spacing w:after="0"/>
              <w:rPr>
                <w:sz w:val="20"/>
                <w:szCs w:val="20"/>
                <w:color w:val="auto"/>
              </w:rPr>
            </w:pPr>
            <w:r>
              <w:rPr>
                <w:rFonts w:ascii="Arial" w:cs="Arial" w:eastAsia="Arial" w:hAnsi="Arial"/>
                <w:sz w:val="14"/>
                <w:szCs w:val="14"/>
                <w:color w:val="auto"/>
              </w:rPr>
              <w:t>6,555</w:t>
            </w:r>
          </w:p>
        </w:tc>
        <w:tc>
          <w:tcPr>
            <w:tcW w:w="8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9,839,485</w:t>
            </w: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0"/>
                <w:szCs w:val="10"/>
                <w:color w:val="auto"/>
              </w:rPr>
              <w:t xml:space="preserve">Joo Mi Kim </w:t>
            </w:r>
            <w:r>
              <w:rPr>
                <w:rFonts w:ascii="Arial" w:cs="Arial" w:eastAsia="Arial" w:hAnsi="Arial"/>
                <w:sz w:val="16"/>
                <w:szCs w:val="16"/>
                <w:color w:val="auto"/>
                <w:vertAlign w:val="superscript"/>
              </w:rPr>
              <w:t>(7)</w:t>
            </w:r>
          </w:p>
        </w:tc>
        <w:tc>
          <w:tcPr>
            <w:tcW w:w="1680" w:type="dxa"/>
            <w:vAlign w:val="bottom"/>
          </w:tcPr>
          <w:p>
            <w:pPr>
              <w:ind w:left="1260"/>
              <w:spacing w:after="0" w:line="147" w:lineRule="exact"/>
              <w:rPr>
                <w:sz w:val="20"/>
                <w:szCs w:val="20"/>
                <w:color w:val="auto"/>
              </w:rPr>
            </w:pPr>
            <w:r>
              <w:rPr>
                <w:rFonts w:ascii="Arial" w:cs="Arial" w:eastAsia="Arial" w:hAnsi="Arial"/>
                <w:sz w:val="14"/>
                <w:szCs w:val="14"/>
                <w:color w:val="auto"/>
              </w:rPr>
              <w:t>2021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351,667</w:t>
            </w:r>
          </w:p>
        </w:tc>
        <w:tc>
          <w:tcPr>
            <w:tcW w:w="90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93"/>
              <w:spacing w:after="0" w:line="146" w:lineRule="exact"/>
              <w:rPr>
                <w:sz w:val="20"/>
                <w:szCs w:val="20"/>
                <w:color w:val="auto"/>
              </w:rPr>
            </w:pPr>
            <w:r>
              <w:rPr>
                <w:rFonts w:ascii="Arial" w:cs="Arial" w:eastAsia="Arial" w:hAnsi="Arial"/>
                <w:sz w:val="10"/>
                <w:szCs w:val="10"/>
                <w:color w:val="auto"/>
              </w:rPr>
              <w:t>4,541,750</w:t>
            </w:r>
            <w:r>
              <w:rPr>
                <w:rFonts w:ascii="Arial" w:cs="Arial" w:eastAsia="Arial" w:hAnsi="Arial"/>
                <w:sz w:val="16"/>
                <w:szCs w:val="16"/>
                <w:color w:val="auto"/>
                <w:vertAlign w:val="superscript"/>
              </w:rPr>
              <w:t>(8)</w:t>
            </w:r>
          </w:p>
        </w:tc>
        <w:tc>
          <w:tcPr>
            <w:tcW w:w="1160" w:type="dxa"/>
            <w:vAlign w:val="bottom"/>
          </w:tcPr>
          <w:p>
            <w:pPr>
              <w:jc w:val="right"/>
              <w:ind w:right="8"/>
              <w:spacing w:after="0" w:line="147" w:lineRule="exact"/>
              <w:rPr>
                <w:sz w:val="20"/>
                <w:szCs w:val="20"/>
                <w:color w:val="auto"/>
              </w:rPr>
            </w:pPr>
            <w:r>
              <w:rPr>
                <w:rFonts w:ascii="Arial" w:cs="Arial" w:eastAsia="Arial" w:hAnsi="Arial"/>
                <w:sz w:val="14"/>
                <w:szCs w:val="14"/>
                <w:color w:val="auto"/>
              </w:rPr>
              <w:t>178,750</w:t>
            </w:r>
          </w:p>
        </w:tc>
        <w:tc>
          <w:tcPr>
            <w:tcW w:w="1400" w:type="dxa"/>
            <w:vAlign w:val="bottom"/>
          </w:tcPr>
          <w:p>
            <w:pPr>
              <w:jc w:val="right"/>
              <w:ind w:right="94"/>
              <w:spacing w:after="0" w:line="146" w:lineRule="exact"/>
              <w:rPr>
                <w:sz w:val="20"/>
                <w:szCs w:val="20"/>
                <w:color w:val="auto"/>
              </w:rPr>
            </w:pPr>
            <w:r>
              <w:rPr>
                <w:rFonts w:ascii="Arial" w:cs="Arial" w:eastAsia="Arial" w:hAnsi="Arial"/>
                <w:sz w:val="10"/>
                <w:szCs w:val="10"/>
                <w:color w:val="auto"/>
              </w:rPr>
              <w:t>16,282</w:t>
            </w:r>
            <w:r>
              <w:rPr>
                <w:rFonts w:ascii="Arial" w:cs="Arial" w:eastAsia="Arial" w:hAnsi="Arial"/>
                <w:sz w:val="16"/>
                <w:szCs w:val="16"/>
                <w:color w:val="auto"/>
                <w:vertAlign w:val="superscript"/>
              </w:rPr>
              <w:t>(9)</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5,088,449</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Chief Financial Officer</w:t>
            </w:r>
          </w:p>
        </w:tc>
        <w:tc>
          <w:tcPr>
            <w:tcW w:w="1680" w:type="dxa"/>
            <w:vAlign w:val="bottom"/>
            <w:tcBorders>
              <w:bottom w:val="single" w:sz="8" w:color="FF0C07"/>
            </w:tcBorders>
          </w:tcPr>
          <w:p>
            <w:pPr>
              <w:ind w:left="1260"/>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169,167</w:t>
            </w:r>
          </w:p>
        </w:tc>
        <w:tc>
          <w:tcPr>
            <w:tcW w:w="900" w:type="dxa"/>
            <w:vAlign w:val="bottom"/>
            <w:tcBorders>
              <w:bottom w:val="single" w:sz="8" w:color="FF0C07"/>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F0C07"/>
            </w:tcBorders>
          </w:tcPr>
          <w:p>
            <w:pPr>
              <w:jc w:val="right"/>
              <w:ind w:right="233"/>
              <w:spacing w:after="0"/>
              <w:rPr>
                <w:sz w:val="20"/>
                <w:szCs w:val="20"/>
                <w:color w:val="auto"/>
              </w:rPr>
            </w:pPr>
            <w:r>
              <w:rPr>
                <w:rFonts w:ascii="Arial" w:cs="Arial" w:eastAsia="Arial" w:hAnsi="Arial"/>
                <w:sz w:val="14"/>
                <w:szCs w:val="14"/>
                <w:color w:val="auto"/>
              </w:rPr>
              <w:t>5,583,069</w:t>
            </w:r>
          </w:p>
        </w:tc>
        <w:tc>
          <w:tcPr>
            <w:tcW w:w="1160" w:type="dxa"/>
            <w:vAlign w:val="bottom"/>
            <w:tcBorders>
              <w:bottom w:val="single" w:sz="8" w:color="FF0C07"/>
            </w:tcBorders>
          </w:tcPr>
          <w:p>
            <w:pPr>
              <w:jc w:val="right"/>
              <w:ind w:right="8"/>
              <w:spacing w:after="0"/>
              <w:rPr>
                <w:sz w:val="20"/>
                <w:szCs w:val="20"/>
                <w:color w:val="auto"/>
              </w:rPr>
            </w:pPr>
            <w:r>
              <w:rPr>
                <w:rFonts w:ascii="Arial" w:cs="Arial" w:eastAsia="Arial" w:hAnsi="Arial"/>
                <w:sz w:val="14"/>
                <w:szCs w:val="14"/>
                <w:color w:val="auto"/>
              </w:rPr>
              <w:t>83,750</w:t>
            </w:r>
          </w:p>
        </w:tc>
        <w:tc>
          <w:tcPr>
            <w:tcW w:w="1400" w:type="dxa"/>
            <w:vAlign w:val="bottom"/>
            <w:tcBorders>
              <w:bottom w:val="single" w:sz="8" w:color="FF0C07"/>
            </w:tcBorders>
          </w:tcPr>
          <w:p>
            <w:pPr>
              <w:jc w:val="right"/>
              <w:ind w:right="254"/>
              <w:spacing w:after="0"/>
              <w:rPr>
                <w:sz w:val="20"/>
                <w:szCs w:val="20"/>
                <w:color w:val="auto"/>
              </w:rPr>
            </w:pPr>
            <w:r>
              <w:rPr>
                <w:rFonts w:ascii="Arial" w:cs="Arial" w:eastAsia="Arial" w:hAnsi="Arial"/>
                <w:sz w:val="14"/>
                <w:szCs w:val="14"/>
                <w:color w:val="auto"/>
              </w:rPr>
              <w:t>25,467</w:t>
            </w:r>
          </w:p>
        </w:tc>
        <w:tc>
          <w:tcPr>
            <w:tcW w:w="8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5,861,453</w:t>
            </w: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0"/>
                <w:szCs w:val="10"/>
                <w:color w:val="auto"/>
              </w:rPr>
              <w:t xml:space="preserve">Allan Peters </w:t>
            </w:r>
            <w:r>
              <w:rPr>
                <w:rFonts w:ascii="Arial" w:cs="Arial" w:eastAsia="Arial" w:hAnsi="Arial"/>
                <w:sz w:val="16"/>
                <w:szCs w:val="16"/>
                <w:color w:val="auto"/>
                <w:vertAlign w:val="superscript"/>
              </w:rPr>
              <w:t>(10)</w:t>
            </w:r>
          </w:p>
        </w:tc>
        <w:tc>
          <w:tcPr>
            <w:tcW w:w="1680" w:type="dxa"/>
            <w:vAlign w:val="bottom"/>
          </w:tcPr>
          <w:p>
            <w:pPr>
              <w:ind w:left="1260"/>
              <w:spacing w:after="0" w:line="147" w:lineRule="exact"/>
              <w:rPr>
                <w:sz w:val="20"/>
                <w:szCs w:val="20"/>
                <w:color w:val="auto"/>
              </w:rPr>
            </w:pPr>
            <w:r>
              <w:rPr>
                <w:rFonts w:ascii="Arial" w:cs="Arial" w:eastAsia="Arial" w:hAnsi="Arial"/>
                <w:sz w:val="14"/>
                <w:szCs w:val="14"/>
                <w:color w:val="auto"/>
              </w:rPr>
              <w:t>2021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209,375</w:t>
            </w:r>
          </w:p>
        </w:tc>
        <w:tc>
          <w:tcPr>
            <w:tcW w:w="90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3"/>
              <w:spacing w:after="0" w:line="146" w:lineRule="exact"/>
              <w:rPr>
                <w:sz w:val="20"/>
                <w:szCs w:val="20"/>
                <w:color w:val="auto"/>
              </w:rPr>
            </w:pPr>
            <w:r>
              <w:rPr>
                <w:rFonts w:ascii="Arial" w:cs="Arial" w:eastAsia="Arial" w:hAnsi="Arial"/>
                <w:sz w:val="10"/>
                <w:szCs w:val="10"/>
                <w:color w:val="auto"/>
              </w:rPr>
              <w:t>3,483,318</w:t>
            </w:r>
            <w:r>
              <w:rPr>
                <w:rFonts w:ascii="Arial" w:cs="Arial" w:eastAsia="Arial" w:hAnsi="Arial"/>
                <w:sz w:val="16"/>
                <w:szCs w:val="16"/>
                <w:color w:val="auto"/>
                <w:vertAlign w:val="superscript"/>
              </w:rPr>
              <w:t>(11)</w:t>
            </w:r>
          </w:p>
        </w:tc>
        <w:tc>
          <w:tcPr>
            <w:tcW w:w="1160" w:type="dxa"/>
            <w:vAlign w:val="bottom"/>
          </w:tcPr>
          <w:p>
            <w:pPr>
              <w:jc w:val="right"/>
              <w:ind w:right="8"/>
              <w:spacing w:after="0" w:line="147" w:lineRule="exact"/>
              <w:rPr>
                <w:sz w:val="20"/>
                <w:szCs w:val="20"/>
                <w:color w:val="auto"/>
              </w:rPr>
            </w:pPr>
            <w:r>
              <w:rPr>
                <w:rFonts w:ascii="Arial" w:cs="Arial" w:eastAsia="Arial" w:hAnsi="Arial"/>
                <w:sz w:val="14"/>
                <w:szCs w:val="14"/>
                <w:color w:val="auto"/>
              </w:rPr>
              <w:t>258,276</w:t>
            </w:r>
          </w:p>
        </w:tc>
        <w:tc>
          <w:tcPr>
            <w:tcW w:w="1400" w:type="dxa"/>
            <w:vAlign w:val="bottom"/>
          </w:tcPr>
          <w:p>
            <w:pPr>
              <w:jc w:val="right"/>
              <w:ind w:right="34"/>
              <w:spacing w:after="0" w:line="146" w:lineRule="exact"/>
              <w:rPr>
                <w:sz w:val="20"/>
                <w:szCs w:val="20"/>
                <w:color w:val="auto"/>
              </w:rPr>
            </w:pPr>
            <w:r>
              <w:rPr>
                <w:rFonts w:ascii="Arial" w:cs="Arial" w:eastAsia="Arial" w:hAnsi="Arial"/>
                <w:sz w:val="10"/>
                <w:szCs w:val="10"/>
                <w:color w:val="auto"/>
              </w:rPr>
              <w:t>9,793</w:t>
            </w:r>
            <w:r>
              <w:rPr>
                <w:rFonts w:ascii="Arial" w:cs="Arial" w:eastAsia="Arial" w:hAnsi="Arial"/>
                <w:sz w:val="16"/>
                <w:szCs w:val="16"/>
                <w:color w:val="auto"/>
                <w:vertAlign w:val="superscript"/>
              </w:rPr>
              <w:t>(12)</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3,960,762</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Chief Revenue Officer</w:t>
            </w:r>
          </w:p>
        </w:tc>
        <w:tc>
          <w:tcPr>
            <w:tcW w:w="1680" w:type="dxa"/>
            <w:vAlign w:val="bottom"/>
            <w:tcBorders>
              <w:bottom w:val="single" w:sz="8" w:color="FF0C07"/>
            </w:tcBorders>
          </w:tcPr>
          <w:p>
            <w:pPr>
              <w:spacing w:after="0"/>
              <w:rPr>
                <w:sz w:val="14"/>
                <w:szCs w:val="14"/>
                <w:color w:val="auto"/>
              </w:rPr>
            </w:pPr>
          </w:p>
        </w:tc>
        <w:tc>
          <w:tcPr>
            <w:tcW w:w="680" w:type="dxa"/>
            <w:vAlign w:val="bottom"/>
            <w:tcBorders>
              <w:bottom w:val="single" w:sz="8" w:color="FF0C07"/>
            </w:tcBorders>
          </w:tcPr>
          <w:p>
            <w:pPr>
              <w:spacing w:after="0"/>
              <w:rPr>
                <w:sz w:val="14"/>
                <w:szCs w:val="14"/>
                <w:color w:val="auto"/>
              </w:rPr>
            </w:pPr>
          </w:p>
        </w:tc>
        <w:tc>
          <w:tcPr>
            <w:tcW w:w="900" w:type="dxa"/>
            <w:vAlign w:val="bottom"/>
            <w:tcBorders>
              <w:bottom w:val="single" w:sz="8" w:color="FF0C07"/>
            </w:tcBorders>
          </w:tcPr>
          <w:p>
            <w:pPr>
              <w:spacing w:after="0"/>
              <w:rPr>
                <w:sz w:val="14"/>
                <w:szCs w:val="14"/>
                <w:color w:val="auto"/>
              </w:rPr>
            </w:pPr>
          </w:p>
        </w:tc>
        <w:tc>
          <w:tcPr>
            <w:tcW w:w="1160" w:type="dxa"/>
            <w:vAlign w:val="bottom"/>
            <w:tcBorders>
              <w:bottom w:val="single" w:sz="8" w:color="FF0C07"/>
            </w:tcBorders>
          </w:tcPr>
          <w:p>
            <w:pPr>
              <w:spacing w:after="0"/>
              <w:rPr>
                <w:sz w:val="14"/>
                <w:szCs w:val="14"/>
                <w:color w:val="auto"/>
              </w:rPr>
            </w:pPr>
          </w:p>
        </w:tc>
        <w:tc>
          <w:tcPr>
            <w:tcW w:w="1160" w:type="dxa"/>
            <w:vAlign w:val="bottom"/>
            <w:tcBorders>
              <w:bottom w:val="single" w:sz="8" w:color="FF0C07"/>
            </w:tcBorders>
          </w:tcPr>
          <w:p>
            <w:pPr>
              <w:spacing w:after="0"/>
              <w:rPr>
                <w:sz w:val="14"/>
                <w:szCs w:val="14"/>
                <w:color w:val="auto"/>
              </w:rPr>
            </w:pPr>
          </w:p>
        </w:tc>
        <w:tc>
          <w:tcPr>
            <w:tcW w:w="1400" w:type="dxa"/>
            <w:vAlign w:val="bottom"/>
            <w:tcBorders>
              <w:bottom w:val="single" w:sz="8" w:color="FF0C07"/>
            </w:tcBorders>
          </w:tcPr>
          <w:p>
            <w:pPr>
              <w:spacing w:after="0"/>
              <w:rPr>
                <w:sz w:val="14"/>
                <w:szCs w:val="14"/>
                <w:color w:val="auto"/>
              </w:rPr>
            </w:pPr>
          </w:p>
        </w:tc>
        <w:tc>
          <w:tcPr>
            <w:tcW w:w="880" w:type="dxa"/>
            <w:vAlign w:val="bottom"/>
            <w:tcBorders>
              <w:bottom w:val="single" w:sz="8" w:color="FF0C07"/>
            </w:tcBorders>
          </w:tcPr>
          <w:p>
            <w:pPr>
              <w:spacing w:after="0"/>
              <w:rPr>
                <w:sz w:val="14"/>
                <w:szCs w:val="14"/>
                <w:color w:val="auto"/>
              </w:rPr>
            </w:pPr>
          </w:p>
        </w:tc>
      </w:tr>
      <w:tr>
        <w:trPr>
          <w:trHeight w:val="146"/>
        </w:trPr>
        <w:tc>
          <w:tcPr>
            <w:tcW w:w="3160" w:type="dxa"/>
            <w:vAlign w:val="bottom"/>
          </w:tcPr>
          <w:p>
            <w:pPr>
              <w:spacing w:after="0" w:line="147" w:lineRule="exact"/>
              <w:rPr>
                <w:sz w:val="20"/>
                <w:szCs w:val="20"/>
                <w:color w:val="auto"/>
              </w:rPr>
            </w:pPr>
            <w:r>
              <w:rPr>
                <w:rFonts w:ascii="Arial" w:cs="Arial" w:eastAsia="Arial" w:hAnsi="Arial"/>
                <w:sz w:val="14"/>
                <w:szCs w:val="14"/>
                <w:color w:val="auto"/>
              </w:rPr>
              <w:t>Bruce K. Posey</w:t>
            </w:r>
          </w:p>
        </w:tc>
        <w:tc>
          <w:tcPr>
            <w:tcW w:w="1680" w:type="dxa"/>
            <w:vAlign w:val="bottom"/>
          </w:tcPr>
          <w:p>
            <w:pPr>
              <w:ind w:left="1260"/>
              <w:spacing w:after="0" w:line="147" w:lineRule="exact"/>
              <w:rPr>
                <w:sz w:val="20"/>
                <w:szCs w:val="20"/>
                <w:color w:val="auto"/>
              </w:rPr>
            </w:pPr>
            <w:r>
              <w:rPr>
                <w:rFonts w:ascii="Arial" w:cs="Arial" w:eastAsia="Arial" w:hAnsi="Arial"/>
                <w:sz w:val="14"/>
                <w:szCs w:val="14"/>
                <w:color w:val="auto"/>
              </w:rPr>
              <w:t>2021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335,000</w:t>
            </w:r>
          </w:p>
        </w:tc>
        <w:tc>
          <w:tcPr>
            <w:tcW w:w="90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3"/>
              <w:spacing w:after="0" w:line="146" w:lineRule="exact"/>
              <w:rPr>
                <w:sz w:val="20"/>
                <w:szCs w:val="20"/>
                <w:color w:val="auto"/>
              </w:rPr>
            </w:pPr>
            <w:r>
              <w:rPr>
                <w:rFonts w:ascii="Arial" w:cs="Arial" w:eastAsia="Arial" w:hAnsi="Arial"/>
                <w:sz w:val="10"/>
                <w:szCs w:val="10"/>
                <w:color w:val="auto"/>
              </w:rPr>
              <w:t>2,851,185</w:t>
            </w:r>
            <w:r>
              <w:rPr>
                <w:rFonts w:ascii="Arial" w:cs="Arial" w:eastAsia="Arial" w:hAnsi="Arial"/>
                <w:sz w:val="16"/>
                <w:szCs w:val="16"/>
                <w:color w:val="auto"/>
                <w:vertAlign w:val="superscript"/>
              </w:rPr>
              <w:t>(13)</w:t>
            </w:r>
          </w:p>
        </w:tc>
        <w:tc>
          <w:tcPr>
            <w:tcW w:w="1160" w:type="dxa"/>
            <w:vAlign w:val="bottom"/>
          </w:tcPr>
          <w:p>
            <w:pPr>
              <w:jc w:val="right"/>
              <w:ind w:right="8"/>
              <w:spacing w:after="0" w:line="147" w:lineRule="exact"/>
              <w:rPr>
                <w:sz w:val="20"/>
                <w:szCs w:val="20"/>
                <w:color w:val="auto"/>
              </w:rPr>
            </w:pPr>
            <w:r>
              <w:rPr>
                <w:rFonts w:ascii="Arial" w:cs="Arial" w:eastAsia="Arial" w:hAnsi="Arial"/>
                <w:sz w:val="14"/>
                <w:szCs w:val="14"/>
                <w:color w:val="auto"/>
              </w:rPr>
              <w:t>168,750</w:t>
            </w:r>
          </w:p>
        </w:tc>
        <w:tc>
          <w:tcPr>
            <w:tcW w:w="1400" w:type="dxa"/>
            <w:vAlign w:val="bottom"/>
          </w:tcPr>
          <w:p>
            <w:pPr>
              <w:jc w:val="right"/>
              <w:ind w:right="34"/>
              <w:spacing w:after="0" w:line="146" w:lineRule="exact"/>
              <w:rPr>
                <w:sz w:val="20"/>
                <w:szCs w:val="20"/>
                <w:color w:val="auto"/>
              </w:rPr>
            </w:pPr>
            <w:r>
              <w:rPr>
                <w:rFonts w:ascii="Arial" w:cs="Arial" w:eastAsia="Arial" w:hAnsi="Arial"/>
                <w:sz w:val="10"/>
                <w:szCs w:val="10"/>
                <w:color w:val="auto"/>
              </w:rPr>
              <w:t>15,856</w:t>
            </w:r>
            <w:r>
              <w:rPr>
                <w:rFonts w:ascii="Arial" w:cs="Arial" w:eastAsia="Arial" w:hAnsi="Arial"/>
                <w:sz w:val="16"/>
                <w:szCs w:val="16"/>
                <w:color w:val="auto"/>
                <w:vertAlign w:val="superscript"/>
              </w:rPr>
              <w:t>(14)</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3,370,791</w:t>
            </w:r>
          </w:p>
        </w:tc>
      </w:tr>
      <w:tr>
        <w:trPr>
          <w:trHeight w:val="162"/>
        </w:trPr>
        <w:tc>
          <w:tcPr>
            <w:tcW w:w="3160" w:type="dxa"/>
            <w:vAlign w:val="bottom"/>
          </w:tcPr>
          <w:p>
            <w:pPr>
              <w:ind w:left="280"/>
              <w:spacing w:after="0"/>
              <w:rPr>
                <w:sz w:val="20"/>
                <w:szCs w:val="20"/>
                <w:color w:val="auto"/>
              </w:rPr>
            </w:pPr>
            <w:r>
              <w:rPr>
                <w:rFonts w:ascii="Arial" w:cs="Arial" w:eastAsia="Arial" w:hAnsi="Arial"/>
                <w:sz w:val="14"/>
                <w:szCs w:val="14"/>
                <w:color w:val="auto"/>
              </w:rPr>
              <w:t>Chief Legal Officer and</w:t>
            </w:r>
          </w:p>
        </w:tc>
        <w:tc>
          <w:tcPr>
            <w:tcW w:w="1680" w:type="dxa"/>
            <w:vAlign w:val="bottom"/>
          </w:tcPr>
          <w:p>
            <w:pPr>
              <w:ind w:left="1260"/>
              <w:spacing w:after="0"/>
              <w:rPr>
                <w:sz w:val="20"/>
                <w:szCs w:val="20"/>
                <w:color w:val="auto"/>
              </w:rPr>
            </w:pPr>
            <w:r>
              <w:rPr>
                <w:rFonts w:ascii="Arial" w:cs="Arial" w:eastAsia="Arial" w:hAnsi="Arial"/>
                <w:sz w:val="14"/>
                <w:szCs w:val="14"/>
                <w:color w:val="auto"/>
              </w:rPr>
              <w:t>2020</w:t>
            </w:r>
          </w:p>
        </w:tc>
        <w:tc>
          <w:tcPr>
            <w:tcW w:w="680" w:type="dxa"/>
            <w:vAlign w:val="bottom"/>
          </w:tcPr>
          <w:p>
            <w:pPr>
              <w:jc w:val="right"/>
              <w:spacing w:after="0"/>
              <w:rPr>
                <w:sz w:val="20"/>
                <w:szCs w:val="20"/>
                <w:color w:val="auto"/>
              </w:rPr>
            </w:pPr>
            <w:r>
              <w:rPr>
                <w:rFonts w:ascii="Arial" w:cs="Arial" w:eastAsia="Arial" w:hAnsi="Arial"/>
                <w:sz w:val="14"/>
                <w:szCs w:val="14"/>
                <w:color w:val="auto"/>
              </w:rPr>
              <w:t>315,833</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3"/>
              <w:spacing w:after="0"/>
              <w:rPr>
                <w:sz w:val="20"/>
                <w:szCs w:val="20"/>
                <w:color w:val="auto"/>
              </w:rPr>
            </w:pPr>
            <w:r>
              <w:rPr>
                <w:rFonts w:ascii="Arial" w:cs="Arial" w:eastAsia="Arial" w:hAnsi="Arial"/>
                <w:sz w:val="14"/>
                <w:szCs w:val="14"/>
                <w:color w:val="auto"/>
              </w:rPr>
              <w:t>3,114,445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156,591</w:t>
            </w:r>
          </w:p>
        </w:tc>
        <w:tc>
          <w:tcPr>
            <w:tcW w:w="1400" w:type="dxa"/>
            <w:vAlign w:val="bottom"/>
          </w:tcPr>
          <w:p>
            <w:pPr>
              <w:jc w:val="right"/>
              <w:ind w:right="254"/>
              <w:spacing w:after="0"/>
              <w:rPr>
                <w:sz w:val="20"/>
                <w:szCs w:val="20"/>
                <w:color w:val="auto"/>
              </w:rPr>
            </w:pPr>
            <w:r>
              <w:rPr>
                <w:rFonts w:ascii="Arial" w:cs="Arial" w:eastAsia="Arial" w:hAnsi="Arial"/>
                <w:sz w:val="14"/>
                <w:szCs w:val="14"/>
                <w:color w:val="auto"/>
              </w:rPr>
              <w:t>7,722</w:t>
            </w:r>
          </w:p>
        </w:tc>
        <w:tc>
          <w:tcPr>
            <w:tcW w:w="880" w:type="dxa"/>
            <w:vAlign w:val="bottom"/>
          </w:tcPr>
          <w:p>
            <w:pPr>
              <w:jc w:val="right"/>
              <w:spacing w:after="0"/>
              <w:rPr>
                <w:sz w:val="20"/>
                <w:szCs w:val="20"/>
                <w:color w:val="auto"/>
              </w:rPr>
            </w:pPr>
            <w:r>
              <w:rPr>
                <w:rFonts w:ascii="Arial" w:cs="Arial" w:eastAsia="Arial" w:hAnsi="Arial"/>
                <w:sz w:val="14"/>
                <w:szCs w:val="14"/>
                <w:color w:val="auto"/>
              </w:rPr>
              <w:t>3,594,591</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Corporate Secretary</w:t>
            </w:r>
          </w:p>
        </w:tc>
        <w:tc>
          <w:tcPr>
            <w:tcW w:w="1680" w:type="dxa"/>
            <w:vAlign w:val="bottom"/>
            <w:tcBorders>
              <w:bottom w:val="single" w:sz="8" w:color="FF0C07"/>
            </w:tcBorders>
          </w:tcPr>
          <w:p>
            <w:pPr>
              <w:ind w:left="126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282,125</w:t>
            </w:r>
          </w:p>
        </w:tc>
        <w:tc>
          <w:tcPr>
            <w:tcW w:w="900" w:type="dxa"/>
            <w:vAlign w:val="bottom"/>
            <w:tcBorders>
              <w:bottom w:val="single" w:sz="8" w:color="FF0C07"/>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F0C07"/>
            </w:tcBorders>
          </w:tcPr>
          <w:p>
            <w:pPr>
              <w:jc w:val="right"/>
              <w:ind w:right="233"/>
              <w:spacing w:after="0"/>
              <w:rPr>
                <w:sz w:val="20"/>
                <w:szCs w:val="20"/>
                <w:color w:val="auto"/>
              </w:rPr>
            </w:pPr>
            <w:r>
              <w:rPr>
                <w:rFonts w:ascii="Arial" w:cs="Arial" w:eastAsia="Arial" w:hAnsi="Arial"/>
                <w:sz w:val="14"/>
                <w:szCs w:val="14"/>
                <w:color w:val="auto"/>
              </w:rPr>
              <w:t>2,772,037</w:t>
            </w:r>
          </w:p>
        </w:tc>
        <w:tc>
          <w:tcPr>
            <w:tcW w:w="1160" w:type="dxa"/>
            <w:vAlign w:val="bottom"/>
            <w:tcBorders>
              <w:bottom w:val="single" w:sz="8" w:color="FF0C07"/>
            </w:tcBorders>
          </w:tcPr>
          <w:p>
            <w:pPr>
              <w:jc w:val="right"/>
              <w:ind w:right="8"/>
              <w:spacing w:after="0"/>
              <w:rPr>
                <w:sz w:val="20"/>
                <w:szCs w:val="20"/>
                <w:color w:val="auto"/>
              </w:rPr>
            </w:pPr>
            <w:r>
              <w:rPr>
                <w:rFonts w:ascii="Arial" w:cs="Arial" w:eastAsia="Arial" w:hAnsi="Arial"/>
                <w:sz w:val="14"/>
                <w:szCs w:val="14"/>
                <w:color w:val="auto"/>
              </w:rPr>
              <w:t>115,459</w:t>
            </w:r>
          </w:p>
        </w:tc>
        <w:tc>
          <w:tcPr>
            <w:tcW w:w="1400" w:type="dxa"/>
            <w:vAlign w:val="bottom"/>
            <w:tcBorders>
              <w:bottom w:val="single" w:sz="8" w:color="FF0C07"/>
            </w:tcBorders>
          </w:tcPr>
          <w:p>
            <w:pPr>
              <w:jc w:val="right"/>
              <w:ind w:right="254"/>
              <w:spacing w:after="0"/>
              <w:rPr>
                <w:sz w:val="20"/>
                <w:szCs w:val="20"/>
                <w:color w:val="auto"/>
              </w:rPr>
            </w:pPr>
            <w:r>
              <w:rPr>
                <w:rFonts w:ascii="Arial" w:cs="Arial" w:eastAsia="Arial" w:hAnsi="Arial"/>
                <w:sz w:val="14"/>
                <w:szCs w:val="14"/>
                <w:color w:val="auto"/>
              </w:rPr>
              <w:t>7,468</w:t>
            </w:r>
          </w:p>
        </w:tc>
        <w:tc>
          <w:tcPr>
            <w:tcW w:w="88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3,177,089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0" w:hanging="424"/>
        <w:spacing w:after="0" w:line="254" w:lineRule="auto"/>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 awards, RSU awards and PRSU awards are shown at their aggregate grant date fair value as determined in accordance with FASB ASC Topic 718. The fair value of each option grant is estimated based on the fair market value on the date of grant using the Black-Scholes-Merton option pricing model. The fair value of each RSU award and PRSU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2021, filed with the SEC on February 22, 2022.</w:t>
      </w:r>
    </w:p>
    <w:p>
      <w:pPr>
        <w:spacing w:after="0" w:line="87" w:lineRule="exact"/>
        <w:rPr>
          <w:rFonts w:ascii="Arial" w:cs="Arial" w:eastAsia="Arial" w:hAnsi="Arial"/>
          <w:sz w:val="16"/>
          <w:szCs w:val="16"/>
          <w:color w:val="auto"/>
        </w:rPr>
      </w:pPr>
    </w:p>
    <w:p>
      <w:pPr>
        <w:ind w:left="424" w:right="100" w:hanging="424"/>
        <w:spacing w:after="0" w:line="266" w:lineRule="auto"/>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Mr. Thakar, Mr. Courtot, Ms. Kim and Mr. Posey, the amounts in this column reflect cash incentives earned under our Corporate Bonus Plan for the applicable year. For Mr. Peters, the amounts in this column reflect sales commissions earned under his individualized sales incentive plan for the applicable fiscal year.</w:t>
      </w:r>
    </w:p>
    <w:p>
      <w:pPr>
        <w:spacing w:after="0" w:line="76" w:lineRule="exact"/>
        <w:rPr>
          <w:rFonts w:ascii="Arial" w:cs="Arial" w:eastAsia="Arial" w:hAnsi="Arial"/>
          <w:sz w:val="16"/>
          <w:szCs w:val="16"/>
          <w:color w:val="auto"/>
        </w:rPr>
      </w:pPr>
    </w:p>
    <w:p>
      <w:pPr>
        <w:ind w:left="424" w:right="80" w:hanging="424"/>
        <w:spacing w:after="0" w:line="256" w:lineRule="auto"/>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includes (a) the grant date fair value of a PRSU award granted in April 2021 in connection with Mr. Thakar’s appointment as Chief Executive Officer totaling $1,037,698 based upon the probable outcome of performance conditions (if maximum performance is achieved, the aggregate grant date fair value of such award is $2,075,397), and (b) the grant date fair value of the first tranche (representing 13,096 PRSUs) of a PRSU award granted in October 2021 totaling $1,572,306 based upon the probable outcome of performance conditions (if maximum performance is achieved, the aggregate grant date fair value of such award is $3,144,612).</w:t>
      </w:r>
    </w:p>
    <w:p>
      <w:pPr>
        <w:spacing w:after="0" w:line="71" w:lineRule="exact"/>
        <w:rPr>
          <w:rFonts w:ascii="Arial" w:cs="Arial" w:eastAsia="Arial" w:hAnsi="Arial"/>
          <w:sz w:val="16"/>
          <w:szCs w:val="16"/>
          <w:color w:val="auto"/>
        </w:rPr>
      </w:pPr>
    </w:p>
    <w:p>
      <w:pPr>
        <w:ind w:left="444" w:right="220"/>
        <w:spacing w:after="0" w:line="266" w:lineRule="auto"/>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performance metrics for the second and third tranches (representing an aggregate of 26,192 PRSUs) of the PRSU award granted to Mr. Thakar in October 2021 have not been established. As a result, there is no reportable grant date fair value under FASB ASC Topic 718 for such tranches, and they are not included in this table.</w:t>
      </w:r>
    </w:p>
    <w:p>
      <w:pPr>
        <w:spacing w:after="0" w:line="76" w:lineRule="exact"/>
        <w:rPr>
          <w:rFonts w:ascii="Arial" w:cs="Arial" w:eastAsia="Arial" w:hAnsi="Arial"/>
          <w:sz w:val="16"/>
          <w:szCs w:val="16"/>
          <w:color w:val="auto"/>
        </w:rPr>
      </w:pPr>
    </w:p>
    <w:p>
      <w:pPr>
        <w:ind w:left="424" w:right="20" w:hanging="424"/>
        <w:spacing w:after="0" w:line="286" w:lineRule="auto"/>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($13,050), (b) a premium paid by Qualys for life insurance ($1,350), and (c) a premium paid by Qualys for supplemental disability insurance ($2,837).</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Courtot’s employment with Qualys terminated on March 19, 2021.</w:t>
      </w:r>
    </w:p>
    <w:p>
      <w:pPr>
        <w:spacing w:after="0" w:line="126" w:lineRule="exact"/>
        <w:rPr>
          <w:rFonts w:ascii="Arial" w:cs="Arial" w:eastAsia="Arial" w:hAnsi="Arial"/>
          <w:sz w:val="16"/>
          <w:szCs w:val="16"/>
          <w:color w:val="auto"/>
        </w:rPr>
      </w:pPr>
    </w:p>
    <w:p>
      <w:pPr>
        <w:ind w:left="424" w:right="20" w:hanging="424"/>
        <w:spacing w:after="0" w:line="256" w:lineRule="auto"/>
        <w:tabs>
          <w:tab w:leader="none" w:pos="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Compensation and Talent Committee of our board of directors determined that Mr. Courtot’s termination of employment on March 19, 2021 was a termination on account of disability. In accordance with the award agreements described below in the section entitled “</w:t>
      </w:r>
      <w:r>
        <w:rPr>
          <w:rFonts w:ascii="Arial" w:cs="Arial" w:eastAsia="Arial" w:hAnsi="Arial"/>
          <w:sz w:val="16"/>
          <w:szCs w:val="16"/>
          <w:i w:val="1"/>
          <w:iCs w:val="1"/>
          <w:color w:val="auto"/>
        </w:rPr>
        <w:t>Potential Payments Upon</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or Change in Control—Philippe F. Courtot</w:t>
      </w:r>
      <w:r>
        <w:rPr>
          <w:rFonts w:ascii="Arial" w:cs="Arial" w:eastAsia="Arial" w:hAnsi="Arial"/>
          <w:sz w:val="16"/>
          <w:szCs w:val="16"/>
          <w:color w:val="auto"/>
        </w:rPr>
        <w:t>,” the outstanding and unvested portion of the awards granted to Mr. Courtot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21, 2018, November 2, 2019 and December 10, 2020 was 100% fully accelerated as of the date of his termination of employment. Accordingly, this amount reflects (a) accelerated vesting with respect to an</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4"/>
          </w:cols>
          <w:pgMar w:left="436" w:top="269" w:right="439" w:bottom="1440" w:gutter="0" w:footer="0" w:header="0"/>
        </w:sectPr>
      </w:pPr>
    </w:p>
    <w:bookmarkStart w:id="63" w:name="page64"/>
    <w:bookmarkEnd w:id="63"/>
    <w:p>
      <w:pPr>
        <w:ind w:left="424" w:right="6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of 126,659 RSUs (valued at $12,763,427, based on $100.77 per share, which was the closing price per share on the Nasdaq Stock Market of our common stock on March 19, 2021), (b) accelerated vesting with respect to an aggregate of 44,119 PRSUs (valued at $4,445,872, based on $100.77 per share, which was the closing price per share on the Nasdaq Stock Market of our common stock on March 19, 2021), (c) accelerated vesting with respect to an aggregate of 347,600 performance-based stock options (valued at $3,506,595, based on $100.77 per share, which was the closing price per share on the Nasdaq Stock Market of our common stock on March 19, 2021, minus the aggregate exercise price),</w:t>
      </w:r>
    </w:p>
    <w:p>
      <w:pPr>
        <w:spacing w:after="0" w:line="3" w:lineRule="exact"/>
        <w:rPr>
          <w:sz w:val="20"/>
          <w:szCs w:val="20"/>
          <w:color w:val="auto"/>
        </w:rPr>
      </w:pPr>
    </w:p>
    <w:p>
      <w:pPr>
        <w:ind w:left="424"/>
        <w:spacing w:after="0"/>
        <w:rPr>
          <w:sz w:val="20"/>
          <w:szCs w:val="20"/>
          <w:color w:val="auto"/>
        </w:rPr>
      </w:pPr>
      <w:r>
        <w:rPr>
          <w:rFonts w:ascii="Arial" w:cs="Arial" w:eastAsia="Arial" w:hAnsi="Arial"/>
          <w:sz w:val="16"/>
          <w:szCs w:val="16"/>
          <w:color w:val="auto"/>
        </w:rPr>
        <w:t>(d) a premium paid by Qualys for life insurance ($5,289), and (e) a premium paid by Qualys for supplemental disability insurance ($1,332).</w:t>
      </w:r>
    </w:p>
    <w:p>
      <w:pPr>
        <w:spacing w:after="0" w:line="110"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Ms. Kim joined Qualys on June 29, 2020.</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4,729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$567,764 based upon the probable outcome of performance conditions (if maximum performance is achieved, the aggregate grant date fair value of such award is $1,135,527).</w:t>
      </w:r>
    </w:p>
    <w:p>
      <w:pPr>
        <w:spacing w:after="0" w:line="63" w:lineRule="exact"/>
        <w:rPr>
          <w:rFonts w:ascii="Arial" w:cs="Arial" w:eastAsia="Arial" w:hAnsi="Arial"/>
          <w:sz w:val="16"/>
          <w:szCs w:val="16"/>
          <w:color w:val="auto"/>
        </w:rPr>
      </w:pPr>
    </w:p>
    <w:p>
      <w:pPr>
        <w:ind w:left="444" w:right="60"/>
        <w:spacing w:after="0" w:line="266" w:lineRule="auto"/>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performance metrics for the second and third tranches (representing an aggregate of 9,457 PRSUs) of the PRSU award granted to Ms. Kim in October 2021 have not been established. As a result, there is no reportable grant date fair value under FASB ASC Topic 718 for such tranches, and they are not included in this table.</w:t>
      </w:r>
    </w:p>
    <w:p>
      <w:pPr>
        <w:spacing w:after="0" w:line="76"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($13,050), (b) a premium paid by Qualys for life insurance ($900), and (c) a premium paid by Qualys for supplemental disability insurance ($2,332).</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Peters joined Qualys on May 10, 2021 and was determined by our board of directors to be an executive officer of Qualys on October 28, 2021.</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3,638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$436,778 based upon the probable outcome of performance conditions (if maximum performance is achieved, the aggregate grant date fair value of such award is $873,557).</w:t>
      </w:r>
    </w:p>
    <w:p>
      <w:pPr>
        <w:spacing w:after="0" w:line="63" w:lineRule="exact"/>
        <w:rPr>
          <w:rFonts w:ascii="Arial" w:cs="Arial" w:eastAsia="Arial" w:hAnsi="Arial"/>
          <w:sz w:val="16"/>
          <w:szCs w:val="16"/>
          <w:color w:val="auto"/>
        </w:rPr>
      </w:pPr>
    </w:p>
    <w:p>
      <w:pPr>
        <w:ind w:left="444" w:right="320"/>
        <w:spacing w:after="0" w:line="266" w:lineRule="auto"/>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performance metrics for the second and third tranches (representing an aggregate of 7,276 PRSUs) of the PRSU award granted to Mr. Peters in October 2021 have not been established. As a result, there is no reportable grant date fair value under FASB ASC Topic 718 for such tranches, and they are not included in this table.</w:t>
      </w:r>
    </w:p>
    <w:p>
      <w:pPr>
        <w:spacing w:after="0" w:line="76"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(a) 401(k) matching contributions by Qualys ($6,797), (b) a premium paid by Qualys for life insurance ($2,258), and (c) a premium paid by Qualys for supplemental disability insurance ($738).</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2,969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$356,458 based upon the probable outcome of performance conditions (if maximum performance is achieved, the aggregate grant date fair value of such award is $712,916).</w:t>
      </w:r>
    </w:p>
    <w:p>
      <w:pPr>
        <w:spacing w:after="0" w:line="63" w:lineRule="exact"/>
        <w:rPr>
          <w:rFonts w:ascii="Arial" w:cs="Arial" w:eastAsia="Arial" w:hAnsi="Arial"/>
          <w:sz w:val="16"/>
          <w:szCs w:val="16"/>
          <w:color w:val="auto"/>
        </w:rPr>
      </w:pPr>
    </w:p>
    <w:p>
      <w:pPr>
        <w:ind w:left="444" w:right="340"/>
        <w:spacing w:after="0" w:line="266" w:lineRule="auto"/>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performance metrics for the second and third tranches (representing an aggregate of 5,937 PRSUs) of the PRSU award granted to Mr. Posey in October 2021 have not been established. As a result, there is no reportable grant date fair value under FASB ASC Topic 718 for such tranches, and they are not included in this table.</w:t>
      </w:r>
    </w:p>
    <w:p>
      <w:pPr>
        <w:spacing w:after="0" w:line="76"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(a) 401(k) matching contributions by Qualys ($5,575), (b) a premium paid by Qualys for life insurance ($5,677), and (c) a premium paid by Qualys for supplemental disability insurance ($4,604).</w:t>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64" w:name="page65"/>
    <w:bookmarkEnd w:id="6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of Plan-Based Awards in 2021 Table</w:t>
      </w:r>
    </w:p>
    <w:p>
      <w:pPr>
        <w:spacing w:after="0" w:line="104" w:lineRule="exact"/>
        <w:rPr>
          <w:sz w:val="20"/>
          <w:szCs w:val="20"/>
          <w:color w:val="auto"/>
        </w:rPr>
      </w:pPr>
    </w:p>
    <w:p>
      <w:pPr>
        <w:ind w:left="4" w:right="320" w:firstLine="440"/>
        <w:spacing w:after="0" w:line="271"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2021.</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7"/>
            <w:vMerge w:val="restart"/>
          </w:tcPr>
          <w:p>
            <w:pPr>
              <w:jc w:val="center"/>
              <w:ind w:right="120"/>
              <w:spacing w:after="0"/>
              <w:rPr>
                <w:sz w:val="20"/>
                <w:szCs w:val="20"/>
                <w:color w:val="auto"/>
              </w:rPr>
            </w:pPr>
            <w:r>
              <w:rPr>
                <w:rFonts w:ascii="Arial" w:cs="Arial" w:eastAsia="Arial" w:hAnsi="Arial"/>
                <w:sz w:val="13"/>
                <w:szCs w:val="13"/>
                <w:b w:val="1"/>
                <w:bCs w:val="1"/>
                <w:color w:val="auto"/>
                <w:w w:val="97"/>
              </w:rPr>
              <w:t>Estimated Future</w:t>
            </w:r>
          </w:p>
        </w:tc>
        <w:tc>
          <w:tcPr>
            <w:tcW w:w="220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w w:val="96"/>
              </w:rPr>
              <w:t>Estimated Future</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All Other</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All Other</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7"/>
            <w:vMerge w:val="continue"/>
          </w:tcPr>
          <w:p>
            <w:pPr>
              <w:spacing w:after="0"/>
              <w:rPr>
                <w:sz w:val="5"/>
                <w:szCs w:val="5"/>
                <w:color w:val="auto"/>
              </w:rPr>
            </w:pPr>
          </w:p>
        </w:tc>
        <w:tc>
          <w:tcPr>
            <w:tcW w:w="2200" w:type="dxa"/>
            <w:vAlign w:val="bottom"/>
            <w:gridSpan w:val="6"/>
            <w:vMerge w:val="continue"/>
          </w:tcPr>
          <w:p>
            <w:pPr>
              <w:spacing w:after="0"/>
              <w:rPr>
                <w:sz w:val="5"/>
                <w:szCs w:val="5"/>
                <w:color w:val="auto"/>
              </w:rPr>
            </w:pPr>
          </w:p>
        </w:tc>
        <w:tc>
          <w:tcPr>
            <w:tcW w:w="7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Option</w:t>
            </w:r>
          </w:p>
        </w:tc>
        <w:tc>
          <w:tcPr>
            <w:tcW w:w="6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Exercise</w:t>
            </w:r>
          </w:p>
        </w:tc>
        <w:tc>
          <w:tcPr>
            <w:tcW w:w="70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7"/>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Payouts Under Non-</w:t>
            </w:r>
          </w:p>
        </w:tc>
        <w:tc>
          <w:tcPr>
            <w:tcW w:w="2200" w:type="dxa"/>
            <w:vAlign w:val="bottom"/>
            <w:gridSpan w:val="6"/>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Payouts Under</w:t>
            </w: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7"/>
            <w:vMerge w:val="continue"/>
          </w:tcPr>
          <w:p>
            <w:pPr>
              <w:spacing w:after="0"/>
              <w:rPr>
                <w:sz w:val="5"/>
                <w:szCs w:val="5"/>
                <w:color w:val="auto"/>
              </w:rPr>
            </w:pPr>
          </w:p>
        </w:tc>
        <w:tc>
          <w:tcPr>
            <w:tcW w:w="2200" w:type="dxa"/>
            <w:vAlign w:val="bottom"/>
            <w:gridSpan w:val="6"/>
            <w:vMerge w:val="continue"/>
          </w:tcPr>
          <w:p>
            <w:pPr>
              <w:spacing w:after="0"/>
              <w:rPr>
                <w:sz w:val="5"/>
                <w:szCs w:val="5"/>
                <w:color w:val="auto"/>
              </w:rPr>
            </w:pPr>
          </w:p>
        </w:tc>
        <w:tc>
          <w:tcPr>
            <w:tcW w:w="76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b w:val="1"/>
                <w:bCs w:val="1"/>
                <w:color w:val="auto"/>
              </w:rPr>
              <w:t>Awards:</w:t>
            </w:r>
          </w:p>
        </w:tc>
        <w:tc>
          <w:tcPr>
            <w:tcW w:w="80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b w:val="1"/>
                <w:bCs w:val="1"/>
                <w:color w:val="auto"/>
              </w:rPr>
              <w:t>Awards:</w:t>
            </w:r>
          </w:p>
        </w:tc>
        <w:tc>
          <w:tcPr>
            <w:tcW w:w="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or Base</w:t>
            </w:r>
          </w:p>
        </w:tc>
        <w:tc>
          <w:tcPr>
            <w:tcW w:w="700" w:type="dxa"/>
            <w:vAlign w:val="bottom"/>
            <w:gridSpan w:val="2"/>
            <w:vMerge w:val="restart"/>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7"/>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Equity Incentive Plan</w:t>
            </w:r>
          </w:p>
        </w:tc>
        <w:tc>
          <w:tcPr>
            <w:tcW w:w="2200" w:type="dxa"/>
            <w:vAlign w:val="bottom"/>
            <w:gridSpan w:val="6"/>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Equity Incentive Plan</w:t>
            </w: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7"/>
            <w:vMerge w:val="continue"/>
          </w:tcPr>
          <w:p>
            <w:pPr>
              <w:spacing w:after="0"/>
              <w:rPr>
                <w:sz w:val="5"/>
                <w:szCs w:val="5"/>
                <w:color w:val="auto"/>
              </w:rPr>
            </w:pPr>
          </w:p>
        </w:tc>
        <w:tc>
          <w:tcPr>
            <w:tcW w:w="2200" w:type="dxa"/>
            <w:vAlign w:val="bottom"/>
            <w:gridSpan w:val="6"/>
            <w:vMerge w:val="continue"/>
          </w:tcPr>
          <w:p>
            <w:pPr>
              <w:spacing w:after="0"/>
              <w:rPr>
                <w:sz w:val="5"/>
                <w:szCs w:val="5"/>
                <w:color w:val="auto"/>
              </w:rPr>
            </w:pPr>
          </w:p>
        </w:tc>
        <w:tc>
          <w:tcPr>
            <w:tcW w:w="7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Number of</w:t>
            </w:r>
          </w:p>
        </w:tc>
        <w:tc>
          <w:tcPr>
            <w:tcW w:w="8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Number of</w:t>
            </w:r>
          </w:p>
        </w:tc>
        <w:tc>
          <w:tcPr>
            <w:tcW w:w="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Price of</w:t>
            </w:r>
          </w:p>
        </w:tc>
        <w:tc>
          <w:tcPr>
            <w:tcW w:w="700" w:type="dxa"/>
            <w:vAlign w:val="bottom"/>
            <w:gridSpan w:val="2"/>
            <w:vMerge w:val="restart"/>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10"/>
                <w:szCs w:val="10"/>
                <w:b w:val="1"/>
                <w:bCs w:val="1"/>
                <w:color w:val="auto"/>
                <w:w w:val="97"/>
              </w:rPr>
              <w:t>(2)</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Awards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Shares of</w:t>
            </w:r>
          </w:p>
        </w:tc>
        <w:tc>
          <w:tcPr>
            <w:tcW w:w="8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Grant</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Type of</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Threshold</w:t>
            </w:r>
          </w:p>
        </w:tc>
        <w:tc>
          <w:tcPr>
            <w:tcW w:w="80" w:type="dxa"/>
            <w:vAlign w:val="bottom"/>
          </w:tcPr>
          <w:p>
            <w:pPr>
              <w:spacing w:after="0"/>
              <w:rPr>
                <w:sz w:val="2"/>
                <w:szCs w:val="2"/>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Target</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Maximum</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Threshold</w:t>
            </w: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0"/>
              </w:rPr>
              <w:t>Target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6"/>
              </w:rPr>
              <w:t>Maximum</w:t>
            </w:r>
          </w:p>
        </w:tc>
        <w:tc>
          <w:tcPr>
            <w:tcW w:w="7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18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Stock or</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Awards</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Date</w:t>
            </w:r>
          </w:p>
        </w:tc>
        <w:tc>
          <w:tcPr>
            <w:tcW w:w="8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Award</w:t>
            </w:r>
            <w:r>
              <w:rPr>
                <w:rFonts w:ascii="Arial" w:cs="Arial" w:eastAsia="Arial" w:hAnsi="Arial"/>
                <w:sz w:val="10"/>
                <w:szCs w:val="10"/>
                <w:b w:val="1"/>
                <w:bCs w:val="1"/>
                <w:color w:val="auto"/>
                <w:w w:val="96"/>
              </w:rPr>
              <w:t>(1)</w:t>
            </w:r>
          </w:p>
        </w:tc>
        <w:tc>
          <w:tcPr>
            <w:tcW w:w="640" w:type="dxa"/>
            <w:vAlign w:val="bottom"/>
          </w:tcPr>
          <w:p>
            <w:pPr>
              <w:ind w:left="180"/>
              <w:spacing w:after="0" w:line="13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(4)</w:t>
            </w:r>
          </w:p>
        </w:tc>
        <w:tc>
          <w:tcPr>
            <w:tcW w:w="40" w:type="dxa"/>
            <w:vAlign w:val="bottom"/>
          </w:tcPr>
          <w:p>
            <w:pPr>
              <w:spacing w:after="0"/>
              <w:rPr>
                <w:sz w:val="13"/>
                <w:szCs w:val="13"/>
                <w:color w:val="auto"/>
              </w:rPr>
            </w:pPr>
          </w:p>
        </w:tc>
        <w:tc>
          <w:tcPr>
            <w:tcW w:w="580" w:type="dxa"/>
            <w:vAlign w:val="bottom"/>
            <w:gridSpan w:val="2"/>
          </w:tcPr>
          <w:p>
            <w:pPr>
              <w:jc w:val="center"/>
              <w:ind w:left="37"/>
              <w:spacing w:after="0" w:line="13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00" w:type="dxa"/>
            <w:vAlign w:val="bottom"/>
          </w:tcPr>
          <w:p>
            <w:pPr>
              <w:ind w:left="220"/>
              <w:spacing w:after="0" w:line="13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tcPr>
          <w:p>
            <w:pPr>
              <w:ind w:left="240"/>
              <w:spacing w:after="0" w:line="13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40" w:type="dxa"/>
            <w:vAlign w:val="bottom"/>
          </w:tcPr>
          <w:p>
            <w:pPr>
              <w:jc w:val="right"/>
              <w:ind w:right="77"/>
              <w:spacing w:after="0" w:line="13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600" w:type="dxa"/>
            <w:vAlign w:val="bottom"/>
          </w:tcPr>
          <w:p>
            <w:pPr>
              <w:jc w:val="right"/>
              <w:ind w:right="157"/>
              <w:spacing w:after="0" w:line="13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8"/>
              </w:rPr>
              <w:t>Units</w:t>
            </w:r>
          </w:p>
        </w:tc>
        <w:tc>
          <w:tcPr>
            <w:tcW w:w="800" w:type="dxa"/>
            <w:vAlign w:val="bottom"/>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Options</w:t>
            </w:r>
          </w:p>
        </w:tc>
        <w:tc>
          <w:tcPr>
            <w:tcW w:w="6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($/Sh)</w:t>
            </w:r>
          </w:p>
        </w:tc>
        <w:tc>
          <w:tcPr>
            <w:tcW w:w="6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160" w:type="dxa"/>
            <w:vAlign w:val="bottom"/>
            <w:tcBorders>
              <w:top w:val="single" w:sz="8" w:color="E5E5E5"/>
            </w:tcBorders>
            <w:gridSpan w:val="2"/>
            <w:shd w:val="clear" w:color="auto" w:fill="E5E5E5"/>
          </w:tcPr>
          <w:p>
            <w:pPr>
              <w:spacing w:after="0" w:line="104" w:lineRule="exact"/>
              <w:rPr>
                <w:sz w:val="20"/>
                <w:szCs w:val="20"/>
                <w:color w:val="auto"/>
              </w:rPr>
            </w:pPr>
            <w:r>
              <w:rPr>
                <w:rFonts w:ascii="Arial" w:cs="Arial" w:eastAsia="Arial" w:hAnsi="Arial"/>
                <w:sz w:val="12"/>
                <w:szCs w:val="12"/>
                <w:color w:val="auto"/>
              </w:rPr>
              <w:t>Sumedh S. Thakar</w:t>
            </w:r>
          </w:p>
        </w:tc>
        <w:tc>
          <w:tcPr>
            <w:tcW w:w="100" w:type="dxa"/>
            <w:vAlign w:val="bottom"/>
            <w:tcBorders>
              <w:top w:val="single" w:sz="8" w:color="E5E5E5"/>
            </w:tcBorders>
            <w:shd w:val="clear" w:color="auto" w:fill="E5E5E5"/>
          </w:tcPr>
          <w:p>
            <w:pPr>
              <w:spacing w:after="0"/>
              <w:rPr>
                <w:sz w:val="9"/>
                <w:szCs w:val="9"/>
                <w:color w:val="auto"/>
              </w:rPr>
            </w:pPr>
          </w:p>
        </w:tc>
        <w:tc>
          <w:tcPr>
            <w:tcW w:w="40" w:type="dxa"/>
            <w:vAlign w:val="bottom"/>
            <w:tcBorders>
              <w:top w:val="single" w:sz="8" w:color="auto"/>
            </w:tcBorders>
            <w:shd w:val="clear" w:color="auto" w:fill="E5E5E5"/>
          </w:tcPr>
          <w:p>
            <w:pPr>
              <w:spacing w:after="0"/>
              <w:rPr>
                <w:sz w:val="9"/>
                <w:szCs w:val="9"/>
                <w:color w:val="auto"/>
              </w:rPr>
            </w:pPr>
          </w:p>
        </w:tc>
        <w:tc>
          <w:tcPr>
            <w:tcW w:w="500" w:type="dxa"/>
            <w:vAlign w:val="bottom"/>
            <w:tcBorders>
              <w:top w:val="single" w:sz="8" w:color="auto"/>
            </w:tcBorders>
            <w:shd w:val="clear" w:color="auto" w:fill="E5E5E5"/>
          </w:tcPr>
          <w:p>
            <w:pPr>
              <w:spacing w:after="0"/>
              <w:rPr>
                <w:sz w:val="9"/>
                <w:szCs w:val="9"/>
                <w:color w:val="auto"/>
              </w:rPr>
            </w:pPr>
          </w:p>
        </w:tc>
        <w:tc>
          <w:tcPr>
            <w:tcW w:w="120" w:type="dxa"/>
            <w:vAlign w:val="bottom"/>
            <w:tcBorders>
              <w:top w:val="single" w:sz="8" w:color="E5E5E5"/>
            </w:tcBorders>
            <w:shd w:val="clear" w:color="auto" w:fill="E5E5E5"/>
          </w:tcPr>
          <w:p>
            <w:pPr>
              <w:spacing w:after="0"/>
              <w:rPr>
                <w:sz w:val="9"/>
                <w:szCs w:val="9"/>
                <w:color w:val="auto"/>
              </w:rPr>
            </w:pPr>
          </w:p>
        </w:tc>
        <w:tc>
          <w:tcPr>
            <w:tcW w:w="740" w:type="dxa"/>
            <w:vAlign w:val="bottom"/>
            <w:tcBorders>
              <w:top w:val="single" w:sz="8" w:color="auto"/>
            </w:tcBorders>
            <w:shd w:val="clear" w:color="auto" w:fill="E5E5E5"/>
          </w:tcPr>
          <w:p>
            <w:pPr>
              <w:jc w:val="right"/>
              <w:spacing w:after="0" w:line="104" w:lineRule="exact"/>
              <w:rPr>
                <w:sz w:val="20"/>
                <w:szCs w:val="20"/>
                <w:color w:val="auto"/>
              </w:rPr>
            </w:pPr>
            <w:r>
              <w:rPr>
                <w:rFonts w:ascii="Arial" w:cs="Arial" w:eastAsia="Arial" w:hAnsi="Arial"/>
                <w:sz w:val="12"/>
                <w:szCs w:val="12"/>
                <w:color w:val="auto"/>
              </w:rPr>
              <w:t>Cash</w:t>
            </w:r>
          </w:p>
        </w:tc>
        <w:tc>
          <w:tcPr>
            <w:tcW w:w="120" w:type="dxa"/>
            <w:vAlign w:val="bottom"/>
            <w:tcBorders>
              <w:top w:val="single" w:sz="8" w:color="E5E5E5"/>
            </w:tcBorders>
            <w:shd w:val="clear" w:color="auto" w:fill="E5E5E5"/>
          </w:tcPr>
          <w:p>
            <w:pPr>
              <w:spacing w:after="0"/>
              <w:rPr>
                <w:sz w:val="9"/>
                <w:szCs w:val="9"/>
                <w:color w:val="auto"/>
              </w:rPr>
            </w:pPr>
          </w:p>
        </w:tc>
        <w:tc>
          <w:tcPr>
            <w:tcW w:w="640" w:type="dxa"/>
            <w:vAlign w:val="bottom"/>
            <w:tcBorders>
              <w:top w:val="single" w:sz="8" w:color="auto"/>
            </w:tcBorders>
            <w:shd w:val="clear" w:color="auto" w:fill="E5E5E5"/>
          </w:tcPr>
          <w:p>
            <w:pPr>
              <w:spacing w:after="0"/>
              <w:rPr>
                <w:sz w:val="9"/>
                <w:szCs w:val="9"/>
                <w:color w:val="auto"/>
              </w:rPr>
            </w:pPr>
          </w:p>
        </w:tc>
        <w:tc>
          <w:tcPr>
            <w:tcW w:w="40" w:type="dxa"/>
            <w:vAlign w:val="bottom"/>
            <w:tcBorders>
              <w:top w:val="single" w:sz="8" w:color="E5E5E5"/>
            </w:tcBorders>
            <w:shd w:val="clear" w:color="auto" w:fill="E5E5E5"/>
          </w:tcPr>
          <w:p>
            <w:pPr>
              <w:spacing w:after="0"/>
              <w:rPr>
                <w:sz w:val="9"/>
                <w:szCs w:val="9"/>
                <w:color w:val="auto"/>
              </w:rPr>
            </w:pPr>
          </w:p>
        </w:tc>
        <w:tc>
          <w:tcPr>
            <w:tcW w:w="80" w:type="dxa"/>
            <w:vAlign w:val="bottom"/>
            <w:tcBorders>
              <w:top w:val="single" w:sz="8" w:color="E5E5E5"/>
            </w:tcBorders>
            <w:shd w:val="clear" w:color="auto" w:fill="E5E5E5"/>
          </w:tcPr>
          <w:p>
            <w:pPr>
              <w:spacing w:after="0"/>
              <w:rPr>
                <w:sz w:val="9"/>
                <w:szCs w:val="9"/>
                <w:color w:val="auto"/>
              </w:rPr>
            </w:pPr>
          </w:p>
        </w:tc>
        <w:tc>
          <w:tcPr>
            <w:tcW w:w="500" w:type="dxa"/>
            <w:vAlign w:val="bottom"/>
            <w:tcBorders>
              <w:top w:val="single" w:sz="8" w:color="auto"/>
            </w:tcBorders>
            <w:shd w:val="clear" w:color="auto" w:fill="E5E5E5"/>
          </w:tcPr>
          <w:p>
            <w:pPr>
              <w:spacing w:after="0"/>
              <w:rPr>
                <w:sz w:val="9"/>
                <w:szCs w:val="9"/>
                <w:color w:val="auto"/>
              </w:rPr>
            </w:pPr>
          </w:p>
        </w:tc>
        <w:tc>
          <w:tcPr>
            <w:tcW w:w="140" w:type="dxa"/>
            <w:vAlign w:val="bottom"/>
            <w:tcBorders>
              <w:top w:val="single" w:sz="8" w:color="E5E5E5"/>
            </w:tcBorders>
            <w:shd w:val="clear" w:color="auto" w:fill="E5E5E5"/>
          </w:tcPr>
          <w:p>
            <w:pPr>
              <w:spacing w:after="0"/>
              <w:rPr>
                <w:sz w:val="9"/>
                <w:szCs w:val="9"/>
                <w:color w:val="auto"/>
              </w:rPr>
            </w:pPr>
          </w:p>
        </w:tc>
        <w:tc>
          <w:tcPr>
            <w:tcW w:w="600" w:type="dxa"/>
            <w:vAlign w:val="bottom"/>
            <w:tcBorders>
              <w:top w:val="single" w:sz="8" w:color="auto"/>
            </w:tcBorders>
            <w:shd w:val="clear" w:color="auto" w:fill="E5E5E5"/>
          </w:tcPr>
          <w:p>
            <w:pPr>
              <w:spacing w:after="0"/>
              <w:rPr>
                <w:sz w:val="9"/>
                <w:szCs w:val="9"/>
                <w:color w:val="auto"/>
              </w:rPr>
            </w:pPr>
          </w:p>
        </w:tc>
        <w:tc>
          <w:tcPr>
            <w:tcW w:w="120" w:type="dxa"/>
            <w:vAlign w:val="bottom"/>
            <w:tcBorders>
              <w:top w:val="single" w:sz="8" w:color="E5E5E5"/>
            </w:tcBorders>
            <w:shd w:val="clear" w:color="auto" w:fill="E5E5E5"/>
          </w:tcPr>
          <w:p>
            <w:pPr>
              <w:spacing w:after="0"/>
              <w:rPr>
                <w:sz w:val="9"/>
                <w:szCs w:val="9"/>
                <w:color w:val="auto"/>
              </w:rPr>
            </w:pPr>
          </w:p>
        </w:tc>
        <w:tc>
          <w:tcPr>
            <w:tcW w:w="620" w:type="dxa"/>
            <w:vAlign w:val="bottom"/>
            <w:tcBorders>
              <w:top w:val="single" w:sz="8" w:color="auto"/>
            </w:tcBorders>
            <w:shd w:val="clear" w:color="auto" w:fill="E5E5E5"/>
          </w:tcPr>
          <w:p>
            <w:pPr>
              <w:spacing w:after="0"/>
              <w:rPr>
                <w:sz w:val="9"/>
                <w:szCs w:val="9"/>
                <w:color w:val="auto"/>
              </w:rPr>
            </w:pPr>
          </w:p>
        </w:tc>
        <w:tc>
          <w:tcPr>
            <w:tcW w:w="140" w:type="dxa"/>
            <w:vAlign w:val="bottom"/>
            <w:tcBorders>
              <w:top w:val="single" w:sz="8" w:color="E5E5E5"/>
            </w:tcBorders>
            <w:shd w:val="clear" w:color="auto" w:fill="E5E5E5"/>
          </w:tcPr>
          <w:p>
            <w:pPr>
              <w:spacing w:after="0"/>
              <w:rPr>
                <w:sz w:val="9"/>
                <w:szCs w:val="9"/>
                <w:color w:val="auto"/>
              </w:rPr>
            </w:pPr>
          </w:p>
        </w:tc>
        <w:tc>
          <w:tcPr>
            <w:tcW w:w="440" w:type="dxa"/>
            <w:vAlign w:val="bottom"/>
            <w:tcBorders>
              <w:top w:val="single" w:sz="8" w:color="auto"/>
            </w:tcBorders>
            <w:shd w:val="clear" w:color="auto" w:fill="E5E5E5"/>
          </w:tcPr>
          <w:p>
            <w:pPr>
              <w:spacing w:after="0"/>
              <w:rPr>
                <w:sz w:val="9"/>
                <w:szCs w:val="9"/>
                <w:color w:val="auto"/>
              </w:rPr>
            </w:pPr>
          </w:p>
        </w:tc>
        <w:tc>
          <w:tcPr>
            <w:tcW w:w="260" w:type="dxa"/>
            <w:vAlign w:val="bottom"/>
            <w:tcBorders>
              <w:top w:val="single" w:sz="8" w:color="E5E5E5"/>
            </w:tcBorders>
            <w:shd w:val="clear" w:color="auto" w:fill="E5E5E5"/>
          </w:tcPr>
          <w:p>
            <w:pPr>
              <w:spacing w:after="0"/>
              <w:rPr>
                <w:sz w:val="9"/>
                <w:szCs w:val="9"/>
                <w:color w:val="auto"/>
              </w:rPr>
            </w:pPr>
          </w:p>
        </w:tc>
        <w:tc>
          <w:tcPr>
            <w:tcW w:w="600" w:type="dxa"/>
            <w:vAlign w:val="bottom"/>
            <w:tcBorders>
              <w:top w:val="single" w:sz="8" w:color="auto"/>
            </w:tcBorders>
            <w:shd w:val="clear" w:color="auto" w:fill="E5E5E5"/>
          </w:tcPr>
          <w:p>
            <w:pPr>
              <w:spacing w:after="0"/>
              <w:rPr>
                <w:sz w:val="9"/>
                <w:szCs w:val="9"/>
                <w:color w:val="auto"/>
              </w:rPr>
            </w:pPr>
          </w:p>
        </w:tc>
        <w:tc>
          <w:tcPr>
            <w:tcW w:w="140" w:type="dxa"/>
            <w:vAlign w:val="bottom"/>
            <w:tcBorders>
              <w:top w:val="single" w:sz="8" w:color="E5E5E5"/>
            </w:tcBorders>
            <w:shd w:val="clear" w:color="auto" w:fill="E5E5E5"/>
          </w:tcPr>
          <w:p>
            <w:pPr>
              <w:spacing w:after="0"/>
              <w:rPr>
                <w:sz w:val="9"/>
                <w:szCs w:val="9"/>
                <w:color w:val="auto"/>
              </w:rPr>
            </w:pPr>
          </w:p>
        </w:tc>
        <w:tc>
          <w:tcPr>
            <w:tcW w:w="640" w:type="dxa"/>
            <w:vAlign w:val="bottom"/>
            <w:tcBorders>
              <w:top w:val="single" w:sz="8" w:color="auto"/>
            </w:tcBorders>
            <w:shd w:val="clear" w:color="auto" w:fill="E5E5E5"/>
          </w:tcPr>
          <w:p>
            <w:pPr>
              <w:spacing w:after="0"/>
              <w:rPr>
                <w:sz w:val="9"/>
                <w:szCs w:val="9"/>
                <w:color w:val="auto"/>
              </w:rPr>
            </w:pPr>
          </w:p>
        </w:tc>
        <w:tc>
          <w:tcPr>
            <w:tcW w:w="120" w:type="dxa"/>
            <w:vAlign w:val="bottom"/>
            <w:tcBorders>
              <w:top w:val="single" w:sz="8" w:color="E5E5E5"/>
            </w:tcBorders>
            <w:shd w:val="clear" w:color="auto" w:fill="E5E5E5"/>
          </w:tcPr>
          <w:p>
            <w:pPr>
              <w:spacing w:after="0"/>
              <w:rPr>
                <w:sz w:val="9"/>
                <w:szCs w:val="9"/>
                <w:color w:val="auto"/>
              </w:rPr>
            </w:pPr>
          </w:p>
        </w:tc>
        <w:tc>
          <w:tcPr>
            <w:tcW w:w="660" w:type="dxa"/>
            <w:vAlign w:val="bottom"/>
            <w:tcBorders>
              <w:top w:val="single" w:sz="8" w:color="auto"/>
            </w:tcBorders>
            <w:shd w:val="clear" w:color="auto" w:fill="E5E5E5"/>
          </w:tcPr>
          <w:p>
            <w:pPr>
              <w:spacing w:after="0"/>
              <w:rPr>
                <w:sz w:val="9"/>
                <w:szCs w:val="9"/>
                <w:color w:val="auto"/>
              </w:rPr>
            </w:pPr>
          </w:p>
        </w:tc>
        <w:tc>
          <w:tcPr>
            <w:tcW w:w="140" w:type="dxa"/>
            <w:vAlign w:val="bottom"/>
            <w:tcBorders>
              <w:top w:val="single" w:sz="8" w:color="E5E5E5"/>
            </w:tcBorders>
            <w:shd w:val="clear" w:color="auto" w:fill="E5E5E5"/>
          </w:tcPr>
          <w:p>
            <w:pPr>
              <w:spacing w:after="0"/>
              <w:rPr>
                <w:sz w:val="9"/>
                <w:szCs w:val="9"/>
                <w:color w:val="auto"/>
              </w:rPr>
            </w:pPr>
          </w:p>
        </w:tc>
        <w:tc>
          <w:tcPr>
            <w:tcW w:w="520" w:type="dxa"/>
            <w:vAlign w:val="bottom"/>
            <w:tcBorders>
              <w:top w:val="single" w:sz="8" w:color="auto"/>
            </w:tcBorders>
            <w:shd w:val="clear" w:color="auto" w:fill="E5E5E5"/>
          </w:tcPr>
          <w:p>
            <w:pPr>
              <w:spacing w:after="0"/>
              <w:rPr>
                <w:sz w:val="9"/>
                <w:szCs w:val="9"/>
                <w:color w:val="auto"/>
              </w:rPr>
            </w:pPr>
          </w:p>
        </w:tc>
        <w:tc>
          <w:tcPr>
            <w:tcW w:w="140" w:type="dxa"/>
            <w:vAlign w:val="bottom"/>
            <w:tcBorders>
              <w:top w:val="single" w:sz="8" w:color="E5E5E5"/>
            </w:tcBorders>
            <w:shd w:val="clear" w:color="auto" w:fill="E5E5E5"/>
          </w:tcPr>
          <w:p>
            <w:pPr>
              <w:spacing w:after="0"/>
              <w:rPr>
                <w:sz w:val="9"/>
                <w:szCs w:val="9"/>
                <w:color w:val="auto"/>
              </w:rPr>
            </w:pPr>
          </w:p>
        </w:tc>
        <w:tc>
          <w:tcPr>
            <w:tcW w:w="660" w:type="dxa"/>
            <w:vAlign w:val="bottom"/>
            <w:tcBorders>
              <w:top w:val="single" w:sz="8" w:color="auto"/>
            </w:tcBorders>
            <w:shd w:val="clear" w:color="auto" w:fill="E5E5E5"/>
          </w:tcPr>
          <w:p>
            <w:pPr>
              <w:spacing w:after="0"/>
              <w:rPr>
                <w:sz w:val="9"/>
                <w:szCs w:val="9"/>
                <w:color w:val="auto"/>
              </w:rPr>
            </w:pPr>
          </w:p>
        </w:tc>
        <w:tc>
          <w:tcPr>
            <w:tcW w:w="40" w:type="dxa"/>
            <w:vAlign w:val="bottom"/>
            <w:tcBorders>
              <w:top w:val="single" w:sz="8" w:color="E5E5E5"/>
            </w:tcBorders>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620" w:type="dxa"/>
            <w:vAlign w:val="bottom"/>
            <w:gridSpan w:val="2"/>
            <w:shd w:val="clear" w:color="auto" w:fill="E5E5E5"/>
          </w:tcPr>
          <w:p>
            <w:pPr>
              <w:ind w:left="3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Incentive</w:t>
            </w:r>
          </w:p>
        </w:tc>
        <w:tc>
          <w:tcPr>
            <w:tcW w:w="640" w:type="dxa"/>
            <w:vAlign w:val="bottom"/>
            <w:shd w:val="clear" w:color="auto" w:fill="E5E5E5"/>
          </w:tcPr>
          <w:p>
            <w:pPr>
              <w:jc w:val="right"/>
              <w:spacing w:after="0" w:line="135" w:lineRule="exact"/>
              <w:rPr>
                <w:sz w:val="20"/>
                <w:szCs w:val="20"/>
                <w:color w:val="auto"/>
              </w:rPr>
            </w:pPr>
            <w:r>
              <w:rPr>
                <w:rFonts w:ascii="Arial" w:cs="Arial" w:eastAsia="Arial" w:hAnsi="Arial"/>
                <w:sz w:val="13"/>
                <w:szCs w:val="13"/>
                <w:color w:val="auto"/>
              </w:rPr>
              <w:t>205,000</w:t>
            </w:r>
          </w:p>
        </w:tc>
        <w:tc>
          <w:tcPr>
            <w:tcW w:w="40" w:type="dxa"/>
            <w:vAlign w:val="bottom"/>
            <w:shd w:val="clear" w:color="auto" w:fill="E5E5E5"/>
          </w:tcPr>
          <w:p>
            <w:pPr>
              <w:spacing w:after="0"/>
              <w:rPr>
                <w:sz w:val="11"/>
                <w:szCs w:val="11"/>
                <w:color w:val="auto"/>
              </w:rPr>
            </w:pPr>
          </w:p>
        </w:tc>
        <w:tc>
          <w:tcPr>
            <w:tcW w:w="720" w:type="dxa"/>
            <w:vAlign w:val="bottom"/>
            <w:gridSpan w:val="3"/>
            <w:shd w:val="clear" w:color="auto" w:fill="E5E5E5"/>
          </w:tcPr>
          <w:p>
            <w:pPr>
              <w:jc w:val="right"/>
              <w:ind w:right="140"/>
              <w:spacing w:after="0" w:line="135" w:lineRule="exact"/>
              <w:rPr>
                <w:sz w:val="20"/>
                <w:szCs w:val="20"/>
                <w:color w:val="auto"/>
              </w:rPr>
            </w:pPr>
            <w:r>
              <w:rPr>
                <w:rFonts w:ascii="Arial" w:cs="Arial" w:eastAsia="Arial" w:hAnsi="Arial"/>
                <w:sz w:val="13"/>
                <w:szCs w:val="13"/>
                <w:color w:val="auto"/>
              </w:rPr>
              <w:t>512,500</w:t>
            </w:r>
          </w:p>
        </w:tc>
        <w:tc>
          <w:tcPr>
            <w:tcW w:w="72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512,500</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Time-based</w:t>
            </w:r>
          </w:p>
        </w:tc>
        <w:tc>
          <w:tcPr>
            <w:tcW w:w="6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60" w:type="dxa"/>
            <w:vAlign w:val="bottom"/>
            <w:gridSpan w:val="3"/>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4/27/21</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RSUs</w:t>
            </w:r>
          </w:p>
        </w:tc>
        <w:tc>
          <w:tcPr>
            <w:tcW w:w="68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1"/>
                <w:szCs w:val="11"/>
                <w:color w:val="auto"/>
              </w:rPr>
            </w:pPr>
          </w:p>
        </w:tc>
        <w:tc>
          <w:tcPr>
            <w:tcW w:w="6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9,671</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1,037,698</w:t>
            </w: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62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4/27/21</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PRSUs</w:t>
            </w:r>
          </w:p>
        </w:tc>
        <w:tc>
          <w:tcPr>
            <w:tcW w:w="68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1"/>
                <w:szCs w:val="11"/>
                <w:color w:val="auto"/>
              </w:rPr>
            </w:pPr>
          </w:p>
        </w:tc>
        <w:tc>
          <w:tcPr>
            <w:tcW w:w="6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140"/>
              <w:spacing w:after="0" w:line="135" w:lineRule="exact"/>
              <w:rPr>
                <w:sz w:val="20"/>
                <w:szCs w:val="20"/>
                <w:color w:val="auto"/>
              </w:rPr>
            </w:pPr>
            <w:r>
              <w:rPr>
                <w:rFonts w:ascii="Arial" w:cs="Arial" w:eastAsia="Arial" w:hAnsi="Arial"/>
                <w:sz w:val="13"/>
                <w:szCs w:val="13"/>
                <w:color w:val="auto"/>
              </w:rPr>
              <w:t>9,671</w:t>
            </w:r>
            <w:r>
              <w:rPr>
                <w:rFonts w:ascii="Arial" w:cs="Arial" w:eastAsia="Arial" w:hAnsi="Arial"/>
                <w:sz w:val="10"/>
                <w:szCs w:val="10"/>
                <w:color w:val="auto"/>
              </w:rPr>
              <w:t>(5)</w:t>
            </w:r>
          </w:p>
        </w:tc>
        <w:tc>
          <w:tcPr>
            <w:tcW w:w="740" w:type="dxa"/>
            <w:vAlign w:val="bottom"/>
            <w:gridSpan w:val="2"/>
            <w:shd w:val="clear" w:color="auto" w:fill="E5E5E5"/>
          </w:tcPr>
          <w:p>
            <w:pPr>
              <w:jc w:val="right"/>
              <w:ind w:right="140"/>
              <w:spacing w:after="0" w:line="135" w:lineRule="exact"/>
              <w:rPr>
                <w:sz w:val="20"/>
                <w:szCs w:val="20"/>
                <w:color w:val="auto"/>
              </w:rPr>
            </w:pPr>
            <w:r>
              <w:rPr>
                <w:rFonts w:ascii="Arial" w:cs="Arial" w:eastAsia="Arial" w:hAnsi="Arial"/>
                <w:sz w:val="13"/>
                <w:szCs w:val="13"/>
                <w:color w:val="auto"/>
              </w:rPr>
              <w:t>19,342</w:t>
            </w:r>
          </w:p>
        </w:tc>
        <w:tc>
          <w:tcPr>
            <w:tcW w:w="76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1,037,698</w:t>
            </w: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Time-based</w:t>
            </w:r>
          </w:p>
        </w:tc>
        <w:tc>
          <w:tcPr>
            <w:tcW w:w="6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500" w:type="dxa"/>
            <w:vAlign w:val="bottom"/>
            <w:shd w:val="clear" w:color="auto" w:fill="E5E5E5"/>
          </w:tcPr>
          <w:p>
            <w:pPr>
              <w:jc w:val="right"/>
              <w:spacing w:after="0" w:line="135" w:lineRule="exact"/>
              <w:rPr>
                <w:sz w:val="20"/>
                <w:szCs w:val="20"/>
                <w:color w:val="auto"/>
              </w:rPr>
            </w:pPr>
            <w:r>
              <w:rPr>
                <w:rFonts w:ascii="Arial" w:cs="Arial" w:eastAsia="Arial" w:hAnsi="Arial"/>
                <w:sz w:val="13"/>
                <w:szCs w:val="13"/>
                <w:color w:val="auto"/>
                <w:w w:val="94"/>
              </w:rPr>
              <w:t>10/28/21</w:t>
            </w:r>
          </w:p>
        </w:tc>
        <w:tc>
          <w:tcPr>
            <w:tcW w:w="120" w:type="dxa"/>
            <w:vAlign w:val="bottom"/>
            <w:shd w:val="clear" w:color="auto" w:fill="E5E5E5"/>
          </w:tcPr>
          <w:p>
            <w:pPr>
              <w:spacing w:after="0"/>
              <w:rPr>
                <w:sz w:val="11"/>
                <w:szCs w:val="11"/>
                <w:color w:val="auto"/>
              </w:rPr>
            </w:pP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RSUs</w:t>
            </w:r>
          </w:p>
        </w:tc>
        <w:tc>
          <w:tcPr>
            <w:tcW w:w="68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1"/>
                <w:szCs w:val="11"/>
                <w:color w:val="auto"/>
              </w:rPr>
            </w:pPr>
          </w:p>
        </w:tc>
        <w:tc>
          <w:tcPr>
            <w:tcW w:w="6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39,288</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4,716,917</w:t>
            </w:r>
          </w:p>
        </w:tc>
        <w:tc>
          <w:tcPr>
            <w:tcW w:w="0" w:type="dxa"/>
            <w:vAlign w:val="bottom"/>
          </w:tcPr>
          <w:p>
            <w:pPr>
              <w:spacing w:after="0"/>
              <w:rPr>
                <w:sz w:val="1"/>
                <w:szCs w:val="1"/>
                <w:color w:val="auto"/>
              </w:rPr>
            </w:pPr>
          </w:p>
        </w:tc>
      </w:tr>
      <w:tr>
        <w:trPr>
          <w:trHeight w:val="153"/>
        </w:trPr>
        <w:tc>
          <w:tcPr>
            <w:tcW w:w="340" w:type="dxa"/>
            <w:vAlign w:val="bottom"/>
            <w:shd w:val="clear" w:color="auto" w:fill="E5E5E5"/>
          </w:tcPr>
          <w:p>
            <w:pPr>
              <w:spacing w:after="0"/>
              <w:rPr>
                <w:sz w:val="13"/>
                <w:szCs w:val="13"/>
                <w:color w:val="auto"/>
              </w:rPr>
            </w:pP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4"/>
              </w:rPr>
              <w:t>10/28/21</w:t>
            </w:r>
          </w:p>
        </w:tc>
        <w:tc>
          <w:tcPr>
            <w:tcW w:w="12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3"/>
                <w:szCs w:val="13"/>
                <w:color w:val="auto"/>
              </w:rPr>
              <w:t>PRSUs</w:t>
            </w:r>
          </w:p>
        </w:tc>
        <w:tc>
          <w:tcPr>
            <w:tcW w:w="68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13,096</w:t>
            </w:r>
            <w:r>
              <w:rPr>
                <w:rFonts w:ascii="Arial" w:cs="Arial" w:eastAsia="Arial" w:hAnsi="Arial"/>
                <w:sz w:val="10"/>
                <w:szCs w:val="10"/>
                <w:color w:val="auto"/>
              </w:rPr>
              <w:t>(6)</w:t>
            </w:r>
          </w:p>
        </w:tc>
        <w:tc>
          <w:tcPr>
            <w:tcW w:w="74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26,192</w:t>
            </w:r>
          </w:p>
        </w:tc>
        <w:tc>
          <w:tcPr>
            <w:tcW w:w="76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rPr>
                <w:sz w:val="20"/>
                <w:szCs w:val="20"/>
                <w:color w:val="auto"/>
              </w:rPr>
            </w:pPr>
            <w:r>
              <w:rPr>
                <w:rFonts w:ascii="Arial" w:cs="Arial" w:eastAsia="Arial" w:hAnsi="Arial"/>
                <w:sz w:val="13"/>
                <w:szCs w:val="13"/>
                <w:color w:val="auto"/>
              </w:rPr>
              <w:t>1,572,306</w:t>
            </w:r>
          </w:p>
        </w:tc>
        <w:tc>
          <w:tcPr>
            <w:tcW w:w="0" w:type="dxa"/>
            <w:vAlign w:val="bottom"/>
          </w:tcPr>
          <w:p>
            <w:pPr>
              <w:spacing w:after="0"/>
              <w:rPr>
                <w:sz w:val="1"/>
                <w:szCs w:val="1"/>
                <w:color w:val="auto"/>
              </w:rPr>
            </w:pPr>
          </w:p>
        </w:tc>
      </w:tr>
      <w:tr>
        <w:trPr>
          <w:trHeight w:val="117"/>
        </w:trPr>
        <w:tc>
          <w:tcPr>
            <w:tcW w:w="2160" w:type="dxa"/>
            <w:vAlign w:val="bottom"/>
            <w:gridSpan w:val="2"/>
          </w:tcPr>
          <w:p>
            <w:pPr>
              <w:spacing w:after="0" w:line="117" w:lineRule="exact"/>
              <w:rPr>
                <w:sz w:val="20"/>
                <w:szCs w:val="20"/>
                <w:color w:val="auto"/>
              </w:rPr>
            </w:pPr>
            <w:r>
              <w:rPr>
                <w:rFonts w:ascii="Arial" w:cs="Arial" w:eastAsia="Arial" w:hAnsi="Arial"/>
                <w:sz w:val="13"/>
                <w:szCs w:val="13"/>
                <w:color w:val="auto"/>
              </w:rPr>
              <w:t>Philippe F. Courtot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line="117" w:lineRule="exact"/>
              <w:rPr>
                <w:sz w:val="20"/>
                <w:szCs w:val="20"/>
                <w:color w:val="auto"/>
              </w:rPr>
            </w:pPr>
            <w:r>
              <w:rPr>
                <w:rFonts w:ascii="Arial" w:cs="Arial" w:eastAsia="Arial" w:hAnsi="Arial"/>
                <w:sz w:val="13"/>
                <w:szCs w:val="13"/>
                <w:color w:val="auto"/>
              </w:rPr>
              <w:t>Cash</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Incentive</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45,000</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112,500</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112,500</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160" w:type="dxa"/>
            <w:vAlign w:val="bottom"/>
            <w:gridSpan w:val="2"/>
            <w:shd w:val="clear" w:color="auto" w:fill="E5E5E5"/>
          </w:tcPr>
          <w:p>
            <w:pPr>
              <w:spacing w:after="0" w:line="117" w:lineRule="exact"/>
              <w:rPr>
                <w:sz w:val="20"/>
                <w:szCs w:val="20"/>
                <w:color w:val="auto"/>
              </w:rPr>
            </w:pPr>
            <w:r>
              <w:rPr>
                <w:rFonts w:ascii="Arial" w:cs="Arial" w:eastAsia="Arial" w:hAnsi="Arial"/>
                <w:sz w:val="13"/>
                <w:szCs w:val="13"/>
                <w:color w:val="auto"/>
              </w:rPr>
              <w:t>Joo Mi Kim</w:t>
            </w:r>
          </w:p>
        </w:tc>
        <w:tc>
          <w:tcPr>
            <w:tcW w:w="10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60" w:type="dxa"/>
            <w:vAlign w:val="bottom"/>
            <w:gridSpan w:val="2"/>
            <w:shd w:val="clear" w:color="auto" w:fill="E5E5E5"/>
          </w:tcPr>
          <w:p>
            <w:pPr>
              <w:jc w:val="right"/>
              <w:ind w:right="120"/>
              <w:spacing w:after="0" w:line="117" w:lineRule="exact"/>
              <w:rPr>
                <w:sz w:val="20"/>
                <w:szCs w:val="20"/>
                <w:color w:val="auto"/>
              </w:rPr>
            </w:pPr>
            <w:r>
              <w:rPr>
                <w:rFonts w:ascii="Arial" w:cs="Arial" w:eastAsia="Arial" w:hAnsi="Arial"/>
                <w:sz w:val="13"/>
                <w:szCs w:val="13"/>
                <w:color w:val="auto"/>
              </w:rPr>
              <w:t>Cash</w:t>
            </w:r>
          </w:p>
        </w:tc>
        <w:tc>
          <w:tcPr>
            <w:tcW w:w="64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50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52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620" w:type="dxa"/>
            <w:vAlign w:val="bottom"/>
            <w:gridSpan w:val="2"/>
            <w:shd w:val="clear" w:color="auto" w:fill="E5E5E5"/>
          </w:tcPr>
          <w:p>
            <w:pPr>
              <w:ind w:left="3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Incentive</w:t>
            </w:r>
          </w:p>
        </w:tc>
        <w:tc>
          <w:tcPr>
            <w:tcW w:w="68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71,500</w:t>
            </w:r>
          </w:p>
        </w:tc>
        <w:tc>
          <w:tcPr>
            <w:tcW w:w="720" w:type="dxa"/>
            <w:vAlign w:val="bottom"/>
            <w:gridSpan w:val="3"/>
            <w:shd w:val="clear" w:color="auto" w:fill="E5E5E5"/>
          </w:tcPr>
          <w:p>
            <w:pPr>
              <w:jc w:val="right"/>
              <w:ind w:right="140"/>
              <w:spacing w:after="0" w:line="135" w:lineRule="exact"/>
              <w:rPr>
                <w:sz w:val="20"/>
                <w:szCs w:val="20"/>
                <w:color w:val="auto"/>
              </w:rPr>
            </w:pPr>
            <w:r>
              <w:rPr>
                <w:rFonts w:ascii="Arial" w:cs="Arial" w:eastAsia="Arial" w:hAnsi="Arial"/>
                <w:sz w:val="13"/>
                <w:szCs w:val="13"/>
                <w:color w:val="auto"/>
              </w:rPr>
              <w:t>178,750</w:t>
            </w:r>
          </w:p>
        </w:tc>
        <w:tc>
          <w:tcPr>
            <w:tcW w:w="72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178,750</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Time-based</w:t>
            </w:r>
          </w:p>
        </w:tc>
        <w:tc>
          <w:tcPr>
            <w:tcW w:w="6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60" w:type="dxa"/>
            <w:vAlign w:val="bottom"/>
            <w:gridSpan w:val="3"/>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10/28/21</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RSUs</w:t>
            </w:r>
          </w:p>
        </w:tc>
        <w:tc>
          <w:tcPr>
            <w:tcW w:w="68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1"/>
                <w:szCs w:val="11"/>
                <w:color w:val="auto"/>
              </w:rPr>
            </w:pPr>
          </w:p>
        </w:tc>
        <w:tc>
          <w:tcPr>
            <w:tcW w:w="6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33,100</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3,973,986</w:t>
            </w:r>
          </w:p>
        </w:tc>
        <w:tc>
          <w:tcPr>
            <w:tcW w:w="0" w:type="dxa"/>
            <w:vAlign w:val="bottom"/>
          </w:tcPr>
          <w:p>
            <w:pPr>
              <w:spacing w:after="0"/>
              <w:rPr>
                <w:sz w:val="1"/>
                <w:szCs w:val="1"/>
                <w:color w:val="auto"/>
              </w:rPr>
            </w:pPr>
          </w:p>
        </w:tc>
      </w:tr>
      <w:tr>
        <w:trPr>
          <w:trHeight w:val="153"/>
        </w:trPr>
        <w:tc>
          <w:tcPr>
            <w:tcW w:w="340" w:type="dxa"/>
            <w:vAlign w:val="bottom"/>
            <w:shd w:val="clear" w:color="auto" w:fill="E5E5E5"/>
          </w:tcPr>
          <w:p>
            <w:pPr>
              <w:spacing w:after="0"/>
              <w:rPr>
                <w:sz w:val="13"/>
                <w:szCs w:val="13"/>
                <w:color w:val="auto"/>
              </w:rPr>
            </w:pP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60" w:type="dxa"/>
            <w:vAlign w:val="bottom"/>
            <w:gridSpan w:val="3"/>
            <w:shd w:val="clear" w:color="auto" w:fill="E5E5E5"/>
          </w:tcPr>
          <w:p>
            <w:pPr>
              <w:jc w:val="right"/>
              <w:ind w:right="120"/>
              <w:spacing w:after="0"/>
              <w:rPr>
                <w:sz w:val="20"/>
                <w:szCs w:val="20"/>
                <w:color w:val="auto"/>
              </w:rPr>
            </w:pPr>
            <w:r>
              <w:rPr>
                <w:rFonts w:ascii="Arial" w:cs="Arial" w:eastAsia="Arial" w:hAnsi="Arial"/>
                <w:sz w:val="13"/>
                <w:szCs w:val="13"/>
                <w:color w:val="auto"/>
              </w:rPr>
              <w:t>10/28/21</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3"/>
                <w:szCs w:val="13"/>
                <w:color w:val="auto"/>
              </w:rPr>
              <w:t>PRSUs</w:t>
            </w:r>
          </w:p>
        </w:tc>
        <w:tc>
          <w:tcPr>
            <w:tcW w:w="68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4,729</w:t>
            </w:r>
            <w:r>
              <w:rPr>
                <w:rFonts w:ascii="Arial" w:cs="Arial" w:eastAsia="Arial" w:hAnsi="Arial"/>
                <w:sz w:val="10"/>
                <w:szCs w:val="10"/>
                <w:color w:val="auto"/>
              </w:rPr>
              <w:t>(6)</w:t>
            </w:r>
          </w:p>
        </w:tc>
        <w:tc>
          <w:tcPr>
            <w:tcW w:w="74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9,458</w:t>
            </w:r>
          </w:p>
        </w:tc>
        <w:tc>
          <w:tcPr>
            <w:tcW w:w="76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567,764</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gridSpan w:val="2"/>
          </w:tcPr>
          <w:p>
            <w:pPr>
              <w:spacing w:after="0" w:line="117" w:lineRule="exact"/>
              <w:rPr>
                <w:sz w:val="20"/>
                <w:szCs w:val="20"/>
                <w:color w:val="auto"/>
              </w:rPr>
            </w:pPr>
            <w:r>
              <w:rPr>
                <w:rFonts w:ascii="Arial" w:cs="Arial" w:eastAsia="Arial" w:hAnsi="Arial"/>
                <w:sz w:val="13"/>
                <w:szCs w:val="13"/>
                <w:color w:val="auto"/>
              </w:rPr>
              <w:t>Allan Peters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line="117" w:lineRule="exact"/>
              <w:rPr>
                <w:sz w:val="20"/>
                <w:szCs w:val="20"/>
                <w:color w:val="auto"/>
              </w:rPr>
            </w:pPr>
            <w:r>
              <w:rPr>
                <w:rFonts w:ascii="Arial" w:cs="Arial" w:eastAsia="Arial" w:hAnsi="Arial"/>
                <w:sz w:val="13"/>
                <w:szCs w:val="13"/>
                <w:color w:val="auto"/>
              </w:rPr>
              <w:t>Cash</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Incentive</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121,613</w:t>
            </w:r>
          </w:p>
        </w:tc>
        <w:tc>
          <w:tcPr>
            <w:tcW w:w="40" w:type="dxa"/>
            <w:vAlign w:val="bottom"/>
          </w:tcPr>
          <w:p>
            <w:pPr>
              <w:spacing w:after="0"/>
              <w:rPr>
                <w:sz w:val="11"/>
                <w:szCs w:val="11"/>
                <w:color w:val="auto"/>
              </w:rPr>
            </w:pPr>
          </w:p>
        </w:tc>
        <w:tc>
          <w:tcPr>
            <w:tcW w:w="7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194,332</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275,582</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Time-based</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6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8/3/21</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RSUs</w:t>
            </w:r>
          </w:p>
        </w:tc>
        <w:tc>
          <w:tcPr>
            <w:tcW w:w="68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29,215</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3,046,540</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3"/>
                <w:szCs w:val="13"/>
                <w:color w:val="auto"/>
              </w:rPr>
              <w:t>10/28/21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PRSUs</w:t>
            </w:r>
          </w:p>
        </w:tc>
        <w:tc>
          <w:tcPr>
            <w:tcW w:w="6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3,638</w:t>
            </w:r>
            <w:r>
              <w:rPr>
                <w:rFonts w:ascii="Arial" w:cs="Arial" w:eastAsia="Arial" w:hAnsi="Arial"/>
                <w:sz w:val="10"/>
                <w:szCs w:val="10"/>
                <w:color w:val="auto"/>
              </w:rPr>
              <w:t>(6)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7,276</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436,778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gridSpan w:val="2"/>
            <w:shd w:val="clear" w:color="auto" w:fill="E5E5E5"/>
          </w:tcPr>
          <w:p>
            <w:pPr>
              <w:spacing w:after="0" w:line="117" w:lineRule="exact"/>
              <w:rPr>
                <w:sz w:val="20"/>
                <w:szCs w:val="20"/>
                <w:color w:val="auto"/>
              </w:rPr>
            </w:pPr>
            <w:r>
              <w:rPr>
                <w:rFonts w:ascii="Arial" w:cs="Arial" w:eastAsia="Arial" w:hAnsi="Arial"/>
                <w:sz w:val="13"/>
                <w:szCs w:val="13"/>
                <w:color w:val="auto"/>
              </w:rPr>
              <w:t>Bruce K. Posey</w:t>
            </w:r>
          </w:p>
        </w:tc>
        <w:tc>
          <w:tcPr>
            <w:tcW w:w="10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60" w:type="dxa"/>
            <w:vAlign w:val="bottom"/>
            <w:gridSpan w:val="2"/>
            <w:shd w:val="clear" w:color="auto" w:fill="E5E5E5"/>
          </w:tcPr>
          <w:p>
            <w:pPr>
              <w:jc w:val="right"/>
              <w:ind w:right="120"/>
              <w:spacing w:after="0" w:line="117" w:lineRule="exact"/>
              <w:rPr>
                <w:sz w:val="20"/>
                <w:szCs w:val="20"/>
                <w:color w:val="auto"/>
              </w:rPr>
            </w:pPr>
            <w:r>
              <w:rPr>
                <w:rFonts w:ascii="Arial" w:cs="Arial" w:eastAsia="Arial" w:hAnsi="Arial"/>
                <w:sz w:val="13"/>
                <w:szCs w:val="13"/>
                <w:color w:val="auto"/>
              </w:rPr>
              <w:t>Cash</w:t>
            </w:r>
          </w:p>
        </w:tc>
        <w:tc>
          <w:tcPr>
            <w:tcW w:w="64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50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6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52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620" w:type="dxa"/>
            <w:vAlign w:val="bottom"/>
            <w:gridSpan w:val="2"/>
            <w:shd w:val="clear" w:color="auto" w:fill="E5E5E5"/>
          </w:tcPr>
          <w:p>
            <w:pPr>
              <w:ind w:left="3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Incentive</w:t>
            </w:r>
          </w:p>
        </w:tc>
        <w:tc>
          <w:tcPr>
            <w:tcW w:w="68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67,500</w:t>
            </w:r>
          </w:p>
        </w:tc>
        <w:tc>
          <w:tcPr>
            <w:tcW w:w="720" w:type="dxa"/>
            <w:vAlign w:val="bottom"/>
            <w:gridSpan w:val="3"/>
            <w:shd w:val="clear" w:color="auto" w:fill="E5E5E5"/>
          </w:tcPr>
          <w:p>
            <w:pPr>
              <w:jc w:val="right"/>
              <w:ind w:right="140"/>
              <w:spacing w:after="0" w:line="135" w:lineRule="exact"/>
              <w:rPr>
                <w:sz w:val="20"/>
                <w:szCs w:val="20"/>
                <w:color w:val="auto"/>
              </w:rPr>
            </w:pPr>
            <w:r>
              <w:rPr>
                <w:rFonts w:ascii="Arial" w:cs="Arial" w:eastAsia="Arial" w:hAnsi="Arial"/>
                <w:sz w:val="13"/>
                <w:szCs w:val="13"/>
                <w:color w:val="auto"/>
              </w:rPr>
              <w:t>168,750</w:t>
            </w:r>
          </w:p>
        </w:tc>
        <w:tc>
          <w:tcPr>
            <w:tcW w:w="72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168,750</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Time-based</w:t>
            </w:r>
          </w:p>
        </w:tc>
        <w:tc>
          <w:tcPr>
            <w:tcW w:w="6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E5E5E5"/>
          </w:tcPr>
          <w:p>
            <w:pPr>
              <w:spacing w:after="0"/>
              <w:rPr>
                <w:sz w:val="11"/>
                <w:szCs w:val="11"/>
                <w:color w:val="auto"/>
              </w:rPr>
            </w:pPr>
          </w:p>
        </w:tc>
        <w:tc>
          <w:tcPr>
            <w:tcW w:w="1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60" w:type="dxa"/>
            <w:vAlign w:val="bottom"/>
            <w:gridSpan w:val="3"/>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10/28/21</w:t>
            </w:r>
          </w:p>
        </w:tc>
        <w:tc>
          <w:tcPr>
            <w:tcW w:w="8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RSUs</w:t>
            </w:r>
          </w:p>
        </w:tc>
        <w:tc>
          <w:tcPr>
            <w:tcW w:w="68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1"/>
                <w:szCs w:val="11"/>
                <w:color w:val="auto"/>
              </w:rPr>
            </w:pPr>
          </w:p>
        </w:tc>
        <w:tc>
          <w:tcPr>
            <w:tcW w:w="6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jc w:val="right"/>
              <w:ind w:right="120"/>
              <w:spacing w:after="0" w:line="135" w:lineRule="exact"/>
              <w:rPr>
                <w:sz w:val="20"/>
                <w:szCs w:val="20"/>
                <w:color w:val="auto"/>
              </w:rPr>
            </w:pPr>
            <w:r>
              <w:rPr>
                <w:rFonts w:ascii="Arial" w:cs="Arial" w:eastAsia="Arial" w:hAnsi="Arial"/>
                <w:sz w:val="13"/>
                <w:szCs w:val="13"/>
                <w:color w:val="auto"/>
              </w:rPr>
              <w:t>20,779</w:t>
            </w:r>
          </w:p>
        </w:tc>
        <w:tc>
          <w:tcPr>
            <w:tcW w:w="800" w:type="dxa"/>
            <w:vAlign w:val="bottom"/>
            <w:gridSpan w:val="2"/>
            <w:shd w:val="clear" w:color="auto" w:fill="E5E5E5"/>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40"/>
              <w:spacing w:after="0" w:line="135" w:lineRule="exact"/>
              <w:rPr>
                <w:sz w:val="20"/>
                <w:szCs w:val="20"/>
                <w:color w:val="auto"/>
              </w:rPr>
            </w:pPr>
            <w:r>
              <w:rPr>
                <w:rFonts w:ascii="Arial" w:cs="Arial" w:eastAsia="Arial" w:hAnsi="Arial"/>
                <w:sz w:val="13"/>
                <w:szCs w:val="13"/>
                <w:color w:val="auto"/>
              </w:rPr>
              <w:t>2,494,727</w:t>
            </w:r>
          </w:p>
        </w:tc>
        <w:tc>
          <w:tcPr>
            <w:tcW w:w="0" w:type="dxa"/>
            <w:vAlign w:val="bottom"/>
          </w:tcPr>
          <w:p>
            <w:pPr>
              <w:spacing w:after="0"/>
              <w:rPr>
                <w:sz w:val="1"/>
                <w:szCs w:val="1"/>
                <w:color w:val="auto"/>
              </w:rPr>
            </w:pPr>
          </w:p>
        </w:tc>
      </w:tr>
      <w:tr>
        <w:trPr>
          <w:trHeight w:val="153"/>
        </w:trPr>
        <w:tc>
          <w:tcPr>
            <w:tcW w:w="340" w:type="dxa"/>
            <w:vAlign w:val="bottom"/>
            <w:shd w:val="clear" w:color="auto" w:fill="E5E5E5"/>
          </w:tcPr>
          <w:p>
            <w:pPr>
              <w:spacing w:after="0"/>
              <w:rPr>
                <w:sz w:val="13"/>
                <w:szCs w:val="13"/>
                <w:color w:val="auto"/>
              </w:rPr>
            </w:pP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60" w:type="dxa"/>
            <w:vAlign w:val="bottom"/>
            <w:gridSpan w:val="3"/>
            <w:shd w:val="clear" w:color="auto" w:fill="E5E5E5"/>
          </w:tcPr>
          <w:p>
            <w:pPr>
              <w:jc w:val="right"/>
              <w:ind w:right="120"/>
              <w:spacing w:after="0"/>
              <w:rPr>
                <w:sz w:val="20"/>
                <w:szCs w:val="20"/>
                <w:color w:val="auto"/>
              </w:rPr>
            </w:pPr>
            <w:r>
              <w:rPr>
                <w:rFonts w:ascii="Arial" w:cs="Arial" w:eastAsia="Arial" w:hAnsi="Arial"/>
                <w:sz w:val="13"/>
                <w:szCs w:val="13"/>
                <w:color w:val="auto"/>
              </w:rPr>
              <w:t>10/28/21</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3"/>
                <w:szCs w:val="13"/>
                <w:color w:val="auto"/>
              </w:rPr>
              <w:t>PRSUs</w:t>
            </w:r>
          </w:p>
        </w:tc>
        <w:tc>
          <w:tcPr>
            <w:tcW w:w="68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5E5E5"/>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E5E5"/>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2,969</w:t>
            </w:r>
            <w:r>
              <w:rPr>
                <w:rFonts w:ascii="Arial" w:cs="Arial" w:eastAsia="Arial" w:hAnsi="Arial"/>
                <w:sz w:val="10"/>
                <w:szCs w:val="10"/>
                <w:color w:val="auto"/>
              </w:rPr>
              <w:t>(6)</w:t>
            </w:r>
          </w:p>
        </w:tc>
        <w:tc>
          <w:tcPr>
            <w:tcW w:w="740" w:type="dxa"/>
            <w:vAlign w:val="bottom"/>
            <w:gridSpan w:val="2"/>
            <w:shd w:val="clear" w:color="auto" w:fill="E5E5E5"/>
          </w:tcPr>
          <w:p>
            <w:pPr>
              <w:jc w:val="right"/>
              <w:ind w:right="140"/>
              <w:spacing w:after="0"/>
              <w:rPr>
                <w:sz w:val="20"/>
                <w:szCs w:val="20"/>
                <w:color w:val="auto"/>
              </w:rPr>
            </w:pPr>
            <w:r>
              <w:rPr>
                <w:rFonts w:ascii="Arial" w:cs="Arial" w:eastAsia="Arial" w:hAnsi="Arial"/>
                <w:sz w:val="13"/>
                <w:szCs w:val="13"/>
                <w:color w:val="auto"/>
              </w:rPr>
              <w:t>5,938</w:t>
            </w:r>
          </w:p>
        </w:tc>
        <w:tc>
          <w:tcPr>
            <w:tcW w:w="76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5E5E5"/>
          </w:tcPr>
          <w:p>
            <w:pPr>
              <w:ind w:left="340"/>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356,458</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Time-based RSUs and PRSUs were granted under our 2012 Equity Incentive Plan.</w:t>
      </w:r>
    </w:p>
    <w:p>
      <w:pPr>
        <w:spacing w:after="0" w:line="126" w:lineRule="exact"/>
        <w:rPr>
          <w:rFonts w:ascii="Arial" w:cs="Arial" w:eastAsia="Arial" w:hAnsi="Arial"/>
          <w:sz w:val="16"/>
          <w:szCs w:val="16"/>
          <w:color w:val="auto"/>
        </w:rPr>
      </w:pPr>
    </w:p>
    <w:p>
      <w:pPr>
        <w:ind w:left="424" w:right="80" w:hanging="424"/>
        <w:spacing w:after="0" w:line="266"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our named executive officers other than Mr. Peters, the amounts reported represent cash incentive compensation opportunities under our 2021 Corporate Bonus Plan. For Mr. Peters, the amount reported represents the cash incentive compensation opportunity under his individualized 2021 sales incentive compensation plan.</w:t>
      </w:r>
    </w:p>
    <w:p>
      <w:pPr>
        <w:spacing w:after="0" w:line="76" w:lineRule="exact"/>
        <w:rPr>
          <w:rFonts w:ascii="Arial" w:cs="Arial" w:eastAsia="Arial" w:hAnsi="Arial"/>
          <w:sz w:val="16"/>
          <w:szCs w:val="16"/>
          <w:color w:val="auto"/>
        </w:rPr>
      </w:pPr>
    </w:p>
    <w:p>
      <w:pPr>
        <w:ind w:left="424" w:right="40" w:hanging="424"/>
        <w:spacing w:after="0" w:line="251"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reported in this column represent the grant date fair value of stock awards, calculated in accordance with FASB ASC Topic 718. The fair value of each RSU award is measured based on the closing price of our common stock on the date of grant, excluding the impact of estimated forfeitures related to service-based vesting conditions. The fair value of each PRSU award is based upon the probable outcome of the performance conditions, consistent with the estimate of aggregate compensation cost to be recognized over the service period determined as of the grant date under FASB ASC Topic 718, excluding the effect of estimated forfeitures. Pursuant to FASB ASC Topic 718, the accounting grant date for each PRSU award is the date the performance metrics are approved by the Compensation and Talent Committee and communicated to the employee. 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performance metrics for the second and third tranches of the PRSU awards granted to our named executive officers in October 2021 have not been established. As a result, there is no reportable grant date fair value under FASB ASC Topic 718 for such tranches, and they are not included in this table.</w:t>
      </w:r>
    </w:p>
    <w:p>
      <w:pPr>
        <w:spacing w:after="0" w:line="90" w:lineRule="exact"/>
        <w:rPr>
          <w:rFonts w:ascii="Arial" w:cs="Arial" w:eastAsia="Arial" w:hAnsi="Arial"/>
          <w:sz w:val="16"/>
          <w:szCs w:val="16"/>
          <w:color w:val="auto"/>
        </w:rPr>
      </w:pPr>
    </w:p>
    <w:p>
      <w:pPr>
        <w:ind w:left="424" w:right="60" w:hanging="424"/>
        <w:spacing w:after="0" w:line="259"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our named executive officers other than Mr. Peters, the amounts reported in this column represent the payout under our 2021 Corporate Bonus Plan based on the minimum amounts payable for certain levels of performance for all three performance measures. Payout could be zero if performance is below minimum levels for all three measures. For Mr. Peters, $113,082 of the amount reported was guaranteed under his individualized 2021 sales incentive compensation plan.</w:t>
      </w:r>
    </w:p>
    <w:p>
      <w:pPr>
        <w:spacing w:after="0" w:line="83" w:lineRule="exact"/>
        <w:rPr>
          <w:rFonts w:ascii="Arial" w:cs="Arial" w:eastAsia="Arial" w:hAnsi="Arial"/>
          <w:sz w:val="16"/>
          <w:szCs w:val="16"/>
          <w:color w:val="auto"/>
        </w:rPr>
      </w:pPr>
    </w:p>
    <w:p>
      <w:pPr>
        <w:ind w:left="424" w:right="120" w:hanging="424"/>
        <w:spacing w:after="0" w:line="259"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PRSU award was granted at target on the grant date. Subject to continued service through the date that performance is certified, the number of shares that will vest under this PRSU award will vary from 0% to 200% of target based on the compound annual growth rate of the Company’s revenues for a three-year period from January 2021 through December 2023 and the compound annual growth rate of free cash flow per share for the same three-year period.</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269" w:right="439" w:bottom="1440" w:gutter="0" w:footer="0" w:header="0"/>
        </w:sectPr>
      </w:pPr>
    </w:p>
    <w:bookmarkStart w:id="65" w:name="page66"/>
    <w:bookmarkEnd w:id="65"/>
    <w:p>
      <w:pPr>
        <w:ind w:left="424" w:right="40" w:hanging="424"/>
        <w:spacing w:after="0" w:line="251" w:lineRule="auto"/>
        <w:tabs>
          <w:tab w:leader="none" w:pos="424"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PRSU award was granted at target on the grant date. 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number of shares subject to this PRSU award represents the first of three tranches of a multi-year PRSU award that was approved by the Compensation and Talent Committee. Subject to continued service through the date that performance is certified, the number of shares that will vest under this PRSU award will vary from 0% to 200% of target based on the annual growth rate of the Company’s revenues and the Company’s achievement of Adjusted EBITDA margin targets for 2022, except that vesting and release of this PRSU award is capped at 100% of target performance for 2022, with cumulative achievement over 100% to be vested and released at the end of 2024. Because the performance metrics for the second and third tranches of the PRSU awards granted to our named executive officers in October 2021 have not been established, there is no reportable grant date fair value under FASB ASC Topic 718 for such tranches, and they are not included in this table. Accordingly, the reported grant date fair value of this PRSU award differs from the award value approved by our Compensation and Talent Committee.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2021 Year-End Table</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presents information regarding stock options held by our named executive officers as of December 31, 2021.</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4"/>
                <w:szCs w:val="24"/>
                <w:b w:val="1"/>
                <w:bCs w:val="1"/>
                <w:color w:val="auto"/>
                <w:vertAlign w:val="superscript"/>
              </w:rPr>
              <w:t>(1)</w:t>
            </w:r>
          </w:p>
        </w:tc>
        <w:tc>
          <w:tcPr>
            <w:tcW w:w="6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4"/>
              <w:spacing w:after="0" w:line="147"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center"/>
              <w:ind w:right="504"/>
              <w:spacing w:after="0"/>
              <w:rPr>
                <w:sz w:val="20"/>
                <w:szCs w:val="20"/>
                <w:color w:val="auto"/>
              </w:rPr>
            </w:pPr>
            <w:r>
              <w:rPr>
                <w:rFonts w:ascii="Arial" w:cs="Arial" w:eastAsia="Arial" w:hAnsi="Arial"/>
                <w:sz w:val="14"/>
                <w:szCs w:val="14"/>
                <w:b w:val="1"/>
                <w:bCs w:val="1"/>
                <w:color w:val="auto"/>
              </w:rPr>
              <w:t>Securities</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center"/>
              <w:ind w:right="504"/>
              <w:spacing w:after="0"/>
              <w:rPr>
                <w:sz w:val="20"/>
                <w:szCs w:val="20"/>
                <w:color w:val="auto"/>
              </w:rPr>
            </w:pPr>
            <w:r>
              <w:rPr>
                <w:rFonts w:ascii="Arial" w:cs="Arial" w:eastAsia="Arial" w:hAnsi="Arial"/>
                <w:sz w:val="14"/>
                <w:szCs w:val="14"/>
                <w:b w:val="1"/>
                <w:bCs w:val="1"/>
                <w:color w:val="auto"/>
              </w:rPr>
              <w:t>Underlying</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Vesting</w:t>
            </w:r>
          </w:p>
        </w:tc>
        <w:tc>
          <w:tcPr>
            <w:tcW w:w="1420" w:type="dxa"/>
            <w:vAlign w:val="bottom"/>
            <w:gridSpan w:val="2"/>
          </w:tcPr>
          <w:p>
            <w:pPr>
              <w:jc w:val="center"/>
              <w:ind w:right="484"/>
              <w:spacing w:after="0"/>
              <w:rPr>
                <w:sz w:val="20"/>
                <w:szCs w:val="20"/>
                <w:color w:val="auto"/>
              </w:rPr>
            </w:pPr>
            <w:r>
              <w:rPr>
                <w:rFonts w:ascii="Arial" w:cs="Arial" w:eastAsia="Arial" w:hAnsi="Arial"/>
                <w:sz w:val="14"/>
                <w:szCs w:val="14"/>
                <w:b w:val="1"/>
                <w:bCs w:val="1"/>
                <w:color w:val="auto"/>
              </w:rPr>
              <w:t>Unexercised</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6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Commencement</w:t>
            </w:r>
          </w:p>
        </w:tc>
        <w:tc>
          <w:tcPr>
            <w:tcW w:w="1420" w:type="dxa"/>
            <w:vAlign w:val="bottom"/>
            <w:gridSpan w:val="2"/>
          </w:tcPr>
          <w:p>
            <w:pPr>
              <w:jc w:val="center"/>
              <w:ind w:right="504"/>
              <w:spacing w:after="0"/>
              <w:rPr>
                <w:sz w:val="20"/>
                <w:szCs w:val="20"/>
                <w:color w:val="auto"/>
              </w:rPr>
            </w:pPr>
            <w:r>
              <w:rPr>
                <w:rFonts w:ascii="Arial" w:cs="Arial" w:eastAsia="Arial" w:hAnsi="Arial"/>
                <w:sz w:val="14"/>
                <w:szCs w:val="14"/>
                <w:b w:val="1"/>
                <w:bCs w:val="1"/>
                <w:color w:val="auto"/>
              </w:rPr>
              <w:t>Options (#)</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Options (#)</w:t>
            </w: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Grant Date</w:t>
            </w:r>
          </w:p>
        </w:tc>
        <w:tc>
          <w:tcPr>
            <w:tcW w:w="15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Date</w:t>
            </w:r>
          </w:p>
        </w:tc>
        <w:tc>
          <w:tcPr>
            <w:tcW w:w="1420" w:type="dxa"/>
            <w:vAlign w:val="bottom"/>
            <w:gridSpan w:val="2"/>
          </w:tcPr>
          <w:p>
            <w:pPr>
              <w:jc w:val="center"/>
              <w:ind w:right="504"/>
              <w:spacing w:after="0" w:line="158" w:lineRule="exact"/>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Unexercisable</w:t>
            </w: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3080" w:type="dxa"/>
            <w:vAlign w:val="bottom"/>
            <w:tcBorders>
              <w:top w:val="single" w:sz="8" w:color="E5E5E5"/>
            </w:tcBorders>
            <w:gridSpan w:val="2"/>
            <w:shd w:val="clear" w:color="auto" w:fill="E5E5E5"/>
          </w:tcPr>
          <w:p>
            <w:pPr>
              <w:spacing w:after="0" w:line="170" w:lineRule="exact"/>
              <w:rPr>
                <w:sz w:val="20"/>
                <w:szCs w:val="20"/>
                <w:color w:val="auto"/>
              </w:rPr>
            </w:pPr>
            <w:r>
              <w:rPr>
                <w:rFonts w:ascii="Arial" w:cs="Arial" w:eastAsia="Arial" w:hAnsi="Arial"/>
                <w:sz w:val="18"/>
                <w:szCs w:val="18"/>
                <w:color w:val="auto"/>
              </w:rPr>
              <w:t>Sumedh S. Thakar</w:t>
            </w:r>
          </w:p>
        </w:tc>
        <w:tc>
          <w:tcPr>
            <w:tcW w:w="32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4/28/2016</w:t>
            </w:r>
          </w:p>
        </w:tc>
        <w:tc>
          <w:tcPr>
            <w:tcW w:w="380" w:type="dxa"/>
            <w:vAlign w:val="bottom"/>
            <w:tcBorders>
              <w:top w:val="single" w:sz="8" w:color="E5E5E5"/>
            </w:tcBorders>
            <w:shd w:val="clear" w:color="auto" w:fill="E5E5E5"/>
          </w:tcPr>
          <w:p>
            <w:pPr>
              <w:spacing w:after="0"/>
              <w:rPr>
                <w:sz w:val="14"/>
                <w:szCs w:val="14"/>
                <w:color w:val="auto"/>
              </w:rPr>
            </w:pPr>
          </w:p>
        </w:tc>
        <w:tc>
          <w:tcPr>
            <w:tcW w:w="112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4/28/2016</w:t>
            </w:r>
          </w:p>
        </w:tc>
        <w:tc>
          <w:tcPr>
            <w:tcW w:w="380" w:type="dxa"/>
            <w:vAlign w:val="bottom"/>
            <w:tcBorders>
              <w:top w:val="single" w:sz="8" w:color="E5E5E5"/>
            </w:tcBorders>
            <w:shd w:val="clear" w:color="auto" w:fill="E5E5E5"/>
          </w:tcPr>
          <w:p>
            <w:pPr>
              <w:spacing w:after="0"/>
              <w:rPr>
                <w:sz w:val="14"/>
                <w:szCs w:val="14"/>
                <w:color w:val="auto"/>
              </w:rPr>
            </w:pPr>
          </w:p>
        </w:tc>
        <w:tc>
          <w:tcPr>
            <w:tcW w:w="8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136,000</w:t>
            </w:r>
          </w:p>
        </w:tc>
        <w:tc>
          <w:tcPr>
            <w:tcW w:w="560" w:type="dxa"/>
            <w:vAlign w:val="bottom"/>
            <w:tcBorders>
              <w:top w:val="single" w:sz="8" w:color="E5E5E5"/>
            </w:tcBorders>
            <w:shd w:val="clear" w:color="auto" w:fill="E5E5E5"/>
          </w:tcPr>
          <w:p>
            <w:pPr>
              <w:jc w:val="right"/>
              <w:ind w:right="304"/>
              <w:spacing w:after="0" w:line="171" w:lineRule="exact"/>
              <w:rPr>
                <w:sz w:val="20"/>
                <w:szCs w:val="20"/>
                <w:color w:val="auto"/>
              </w:rPr>
            </w:pPr>
            <w:r>
              <w:rPr>
                <w:rFonts w:ascii="Arial" w:cs="Arial" w:eastAsia="Arial" w:hAnsi="Arial"/>
                <w:sz w:val="15"/>
                <w:szCs w:val="15"/>
                <w:color w:val="auto"/>
                <w:w w:val="87"/>
              </w:rPr>
              <w:t>(2)</w:t>
            </w:r>
          </w:p>
        </w:tc>
        <w:tc>
          <w:tcPr>
            <w:tcW w:w="980" w:type="dxa"/>
            <w:vAlign w:val="bottom"/>
            <w:tcBorders>
              <w:top w:val="single" w:sz="8" w:color="auto"/>
            </w:tcBorders>
            <w:shd w:val="clear" w:color="auto" w:fill="E5E5E5"/>
          </w:tcPr>
          <w:p>
            <w:pPr>
              <w:ind w:left="700"/>
              <w:spacing w:after="0" w:line="170"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E5E5E5"/>
            </w:tcBorders>
            <w:shd w:val="clear" w:color="auto" w:fill="E5E5E5"/>
          </w:tcPr>
          <w:p>
            <w:pPr>
              <w:spacing w:after="0"/>
              <w:rPr>
                <w:sz w:val="14"/>
                <w:szCs w:val="14"/>
                <w:color w:val="auto"/>
              </w:rPr>
            </w:pPr>
          </w:p>
        </w:tc>
        <w:tc>
          <w:tcPr>
            <w:tcW w:w="6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25.56</w:t>
            </w:r>
          </w:p>
        </w:tc>
        <w:tc>
          <w:tcPr>
            <w:tcW w:w="38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4/27/2026</w:t>
            </w:r>
          </w:p>
        </w:tc>
        <w:tc>
          <w:tcPr>
            <w:tcW w:w="60" w:type="dxa"/>
            <w:vAlign w:val="bottom"/>
            <w:tcBorders>
              <w:top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2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7/30/2015</w:t>
            </w:r>
          </w:p>
        </w:tc>
        <w:tc>
          <w:tcPr>
            <w:tcW w:w="15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7/30/2015</w:t>
            </w:r>
          </w:p>
        </w:tc>
        <w:tc>
          <w:tcPr>
            <w:tcW w:w="1420" w:type="dxa"/>
            <w:vAlign w:val="bottom"/>
            <w:gridSpan w:val="2"/>
            <w:shd w:val="clear" w:color="auto" w:fill="E5E5E5"/>
          </w:tcPr>
          <w:p>
            <w:pPr>
              <w:jc w:val="right"/>
              <w:ind w:right="304"/>
              <w:spacing w:after="0" w:line="202" w:lineRule="exact"/>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(2)</w:t>
            </w:r>
          </w:p>
        </w:tc>
        <w:tc>
          <w:tcPr>
            <w:tcW w:w="1360" w:type="dxa"/>
            <w:vAlign w:val="bottom"/>
            <w:gridSpan w:val="2"/>
            <w:shd w:val="clear" w:color="auto" w:fill="E5E5E5"/>
          </w:tcPr>
          <w:p>
            <w:pPr>
              <w:ind w:left="7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37.28</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2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10/30/2014</w:t>
            </w:r>
          </w:p>
        </w:tc>
        <w:tc>
          <w:tcPr>
            <w:tcW w:w="15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10/30/2014</w:t>
            </w:r>
          </w:p>
        </w:tc>
        <w:tc>
          <w:tcPr>
            <w:tcW w:w="1420" w:type="dxa"/>
            <w:vAlign w:val="bottom"/>
            <w:gridSpan w:val="2"/>
            <w:shd w:val="clear" w:color="auto" w:fill="E5E5E5"/>
          </w:tcPr>
          <w:p>
            <w:pPr>
              <w:jc w:val="right"/>
              <w:ind w:right="304"/>
              <w:spacing w:after="0" w:line="202" w:lineRule="exact"/>
              <w:rPr>
                <w:sz w:val="20"/>
                <w:szCs w:val="20"/>
                <w:color w:val="auto"/>
              </w:rPr>
            </w:pPr>
            <w:r>
              <w:rPr>
                <w:rFonts w:ascii="Arial" w:cs="Arial" w:eastAsia="Arial" w:hAnsi="Arial"/>
                <w:sz w:val="18"/>
                <w:szCs w:val="18"/>
                <w:color w:val="auto"/>
              </w:rPr>
              <w:t>75,000</w:t>
            </w:r>
            <w:r>
              <w:rPr>
                <w:rFonts w:ascii="Arial" w:cs="Arial" w:eastAsia="Arial" w:hAnsi="Arial"/>
                <w:sz w:val="15"/>
                <w:szCs w:val="15"/>
                <w:color w:val="auto"/>
              </w:rPr>
              <w:t>(2)</w:t>
            </w:r>
          </w:p>
        </w:tc>
        <w:tc>
          <w:tcPr>
            <w:tcW w:w="1360" w:type="dxa"/>
            <w:vAlign w:val="bottom"/>
            <w:gridSpan w:val="2"/>
            <w:shd w:val="clear" w:color="auto" w:fill="E5E5E5"/>
          </w:tcPr>
          <w:p>
            <w:pPr>
              <w:ind w:left="7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30.58</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2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8/1/2014</w:t>
            </w:r>
          </w:p>
        </w:tc>
        <w:tc>
          <w:tcPr>
            <w:tcW w:w="38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6/1/2014</w:t>
            </w:r>
          </w:p>
        </w:tc>
        <w:tc>
          <w:tcPr>
            <w:tcW w:w="1420" w:type="dxa"/>
            <w:vAlign w:val="bottom"/>
            <w:gridSpan w:val="2"/>
            <w:shd w:val="clear" w:color="auto" w:fill="E5E5E5"/>
          </w:tcPr>
          <w:p>
            <w:pPr>
              <w:jc w:val="right"/>
              <w:ind w:right="304"/>
              <w:spacing w:after="0" w:line="202" w:lineRule="exact"/>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(2)</w:t>
            </w:r>
          </w:p>
        </w:tc>
        <w:tc>
          <w:tcPr>
            <w:tcW w:w="1360" w:type="dxa"/>
            <w:vAlign w:val="bottom"/>
            <w:gridSpan w:val="2"/>
            <w:shd w:val="clear" w:color="auto" w:fill="E5E5E5"/>
          </w:tcPr>
          <w:p>
            <w:pPr>
              <w:ind w:left="7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23.51</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26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5/2/2014</w:t>
            </w:r>
          </w:p>
        </w:tc>
        <w:tc>
          <w:tcPr>
            <w:tcW w:w="380" w:type="dxa"/>
            <w:vAlign w:val="bottom"/>
            <w:shd w:val="clear" w:color="auto" w:fill="E5E5E5"/>
          </w:tcPr>
          <w:p>
            <w:pPr>
              <w:spacing w:after="0"/>
              <w:rPr>
                <w:sz w:val="19"/>
                <w:szCs w:val="19"/>
                <w:color w:val="auto"/>
              </w:rPr>
            </w:pPr>
          </w:p>
        </w:tc>
        <w:tc>
          <w:tcPr>
            <w:tcW w:w="150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5/2/2014</w:t>
            </w:r>
          </w:p>
        </w:tc>
        <w:tc>
          <w:tcPr>
            <w:tcW w:w="1420" w:type="dxa"/>
            <w:vAlign w:val="bottom"/>
            <w:gridSpan w:val="2"/>
            <w:shd w:val="clear" w:color="auto" w:fill="E5E5E5"/>
          </w:tcPr>
          <w:p>
            <w:pPr>
              <w:jc w:val="right"/>
              <w:ind w:right="304"/>
              <w:spacing w:after="0"/>
              <w:rPr>
                <w:sz w:val="20"/>
                <w:szCs w:val="20"/>
                <w:color w:val="auto"/>
              </w:rPr>
            </w:pPr>
            <w:r>
              <w:rPr>
                <w:rFonts w:ascii="Arial" w:cs="Arial" w:eastAsia="Arial" w:hAnsi="Arial"/>
                <w:sz w:val="18"/>
                <w:szCs w:val="18"/>
                <w:color w:val="auto"/>
              </w:rPr>
              <w:t>10,011</w:t>
            </w:r>
            <w:r>
              <w:rPr>
                <w:rFonts w:ascii="Arial" w:cs="Arial" w:eastAsia="Arial" w:hAnsi="Arial"/>
                <w:sz w:val="15"/>
                <w:szCs w:val="15"/>
                <w:color w:val="auto"/>
              </w:rPr>
              <w:t>(2)</w:t>
            </w:r>
          </w:p>
        </w:tc>
        <w:tc>
          <w:tcPr>
            <w:tcW w:w="13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19.26</w:t>
            </w:r>
          </w:p>
        </w:tc>
        <w:tc>
          <w:tcPr>
            <w:tcW w:w="10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184"/>
        </w:trPr>
        <w:tc>
          <w:tcPr>
            <w:tcW w:w="3080" w:type="dxa"/>
            <w:vAlign w:val="bottom"/>
            <w:gridSpan w:val="2"/>
          </w:tcPr>
          <w:p>
            <w:pPr>
              <w:spacing w:after="0" w:line="183" w:lineRule="exact"/>
              <w:rPr>
                <w:sz w:val="20"/>
                <w:szCs w:val="20"/>
                <w:color w:val="auto"/>
              </w:rPr>
            </w:pPr>
            <w:r>
              <w:rPr>
                <w:rFonts w:ascii="Arial" w:cs="Arial" w:eastAsia="Arial" w:hAnsi="Arial"/>
                <w:sz w:val="18"/>
                <w:szCs w:val="18"/>
                <w:color w:val="auto"/>
              </w:rPr>
              <w:t>Bruce K. Posey</w:t>
            </w:r>
          </w:p>
        </w:tc>
        <w:tc>
          <w:tcPr>
            <w:tcW w:w="3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4/28/2016</w:t>
            </w:r>
          </w:p>
        </w:tc>
        <w:tc>
          <w:tcPr>
            <w:tcW w:w="380" w:type="dxa"/>
            <w:vAlign w:val="bottom"/>
          </w:tcPr>
          <w:p>
            <w:pPr>
              <w:spacing w:after="0"/>
              <w:rPr>
                <w:sz w:val="15"/>
                <w:szCs w:val="15"/>
                <w:color w:val="auto"/>
              </w:rPr>
            </w:pPr>
          </w:p>
        </w:tc>
        <w:tc>
          <w:tcPr>
            <w:tcW w:w="1500" w:type="dxa"/>
            <w:vAlign w:val="bottom"/>
            <w:gridSpan w:val="2"/>
          </w:tcPr>
          <w:p>
            <w:pPr>
              <w:jc w:val="right"/>
              <w:ind w:right="380"/>
              <w:spacing w:after="0" w:line="183" w:lineRule="exact"/>
              <w:rPr>
                <w:sz w:val="20"/>
                <w:szCs w:val="20"/>
                <w:color w:val="auto"/>
              </w:rPr>
            </w:pPr>
            <w:r>
              <w:rPr>
                <w:rFonts w:ascii="Arial" w:cs="Arial" w:eastAsia="Arial" w:hAnsi="Arial"/>
                <w:sz w:val="18"/>
                <w:szCs w:val="18"/>
                <w:color w:val="auto"/>
              </w:rPr>
              <w:t>4/28/2016</w:t>
            </w:r>
          </w:p>
        </w:tc>
        <w:tc>
          <w:tcPr>
            <w:tcW w:w="1420" w:type="dxa"/>
            <w:vAlign w:val="bottom"/>
            <w:gridSpan w:val="2"/>
          </w:tcPr>
          <w:p>
            <w:pPr>
              <w:jc w:val="right"/>
              <w:ind w:right="304"/>
              <w:spacing w:after="0" w:line="183" w:lineRule="exact"/>
              <w:rPr>
                <w:sz w:val="20"/>
                <w:szCs w:val="20"/>
                <w:color w:val="auto"/>
              </w:rPr>
            </w:pPr>
            <w:r>
              <w:rPr>
                <w:rFonts w:ascii="Arial" w:cs="Arial" w:eastAsia="Arial" w:hAnsi="Arial"/>
                <w:sz w:val="18"/>
                <w:szCs w:val="18"/>
                <w:color w:val="auto"/>
              </w:rPr>
              <w:t>36,300</w:t>
            </w:r>
            <w:r>
              <w:rPr>
                <w:rFonts w:ascii="Arial" w:cs="Arial" w:eastAsia="Arial" w:hAnsi="Arial"/>
                <w:sz w:val="15"/>
                <w:szCs w:val="15"/>
                <w:color w:val="auto"/>
              </w:rPr>
              <w:t>(2)</w:t>
            </w:r>
          </w:p>
        </w:tc>
        <w:tc>
          <w:tcPr>
            <w:tcW w:w="1360" w:type="dxa"/>
            <w:vAlign w:val="bottom"/>
            <w:gridSpan w:val="2"/>
          </w:tcPr>
          <w:p>
            <w:pPr>
              <w:ind w:left="700"/>
              <w:spacing w:after="0" w:line="18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3" w:lineRule="exact"/>
              <w:rPr>
                <w:sz w:val="20"/>
                <w:szCs w:val="20"/>
                <w:color w:val="auto"/>
              </w:rPr>
            </w:pPr>
            <w:r>
              <w:rPr>
                <w:rFonts w:ascii="Arial" w:cs="Arial" w:eastAsia="Arial" w:hAnsi="Arial"/>
                <w:sz w:val="18"/>
                <w:szCs w:val="18"/>
                <w:color w:val="auto"/>
              </w:rPr>
              <w:t>25.56</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4/27/2026</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6/6/2012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5/21/2012</w:t>
            </w:r>
          </w:p>
        </w:tc>
        <w:tc>
          <w:tcPr>
            <w:tcW w:w="1420" w:type="dxa"/>
            <w:vAlign w:val="bottom"/>
            <w:gridSpan w:val="2"/>
          </w:tcPr>
          <w:p>
            <w:pPr>
              <w:jc w:val="right"/>
              <w:ind w:right="304"/>
              <w:spacing w:after="0"/>
              <w:rPr>
                <w:sz w:val="20"/>
                <w:szCs w:val="20"/>
                <w:color w:val="auto"/>
              </w:rPr>
            </w:pPr>
            <w:r>
              <w:rPr>
                <w:rFonts w:ascii="Arial" w:cs="Arial" w:eastAsia="Arial" w:hAnsi="Arial"/>
                <w:sz w:val="18"/>
                <w:szCs w:val="18"/>
                <w:color w:val="auto"/>
              </w:rPr>
              <w:t>29,244</w:t>
            </w:r>
            <w:r>
              <w:rPr>
                <w:rFonts w:ascii="Arial" w:cs="Arial" w:eastAsia="Arial" w:hAnsi="Arial"/>
                <w:sz w:val="15"/>
                <w:szCs w:val="15"/>
                <w:color w:val="auto"/>
              </w:rPr>
              <w:t>(2)</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8.90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stock options referenced in this table were granted under our 2012 Equity Incentive Plan.</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of these options was fully vested as of December 31, 2021.</w:t>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4"/>
          </w:cols>
          <w:pgMar w:left="436" w:top="274" w:right="439" w:bottom="1440" w:gutter="0" w:footer="0" w:header="0"/>
        </w:sectPr>
      </w:pPr>
    </w:p>
    <w:bookmarkStart w:id="66" w:name="page67"/>
    <w:bookmarkEnd w:id="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presents information regarding stock awards held by our named executive officers as of December 31, 2021.</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Stock Awards(1)</w:t>
            </w: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gridSpan w:val="2"/>
          </w:tcPr>
          <w:p>
            <w:pPr>
              <w:jc w:val="center"/>
              <w:ind w:right="544"/>
              <w:spacing w:after="0" w:line="147" w:lineRule="exact"/>
              <w:rPr>
                <w:sz w:val="20"/>
                <w:szCs w:val="20"/>
                <w:color w:val="auto"/>
              </w:rPr>
            </w:pPr>
            <w:r>
              <w:rPr>
                <w:rFonts w:ascii="Arial" w:cs="Arial" w:eastAsia="Arial" w:hAnsi="Arial"/>
                <w:sz w:val="14"/>
                <w:szCs w:val="14"/>
                <w:b w:val="1"/>
                <w:bCs w:val="1"/>
                <w:color w:val="auto"/>
              </w:rPr>
              <w:t>Equity Incentive</w:t>
            </w: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1720" w:type="dxa"/>
            <w:vAlign w:val="bottom"/>
            <w:gridSpan w:val="2"/>
          </w:tcPr>
          <w:p>
            <w:pPr>
              <w:jc w:val="right"/>
              <w:ind w:right="644"/>
              <w:spacing w:after="0"/>
              <w:rPr>
                <w:sz w:val="20"/>
                <w:szCs w:val="20"/>
                <w:color w:val="auto"/>
              </w:rPr>
            </w:pPr>
            <w:r>
              <w:rPr>
                <w:rFonts w:ascii="Arial" w:cs="Arial" w:eastAsia="Arial" w:hAnsi="Arial"/>
                <w:sz w:val="14"/>
                <w:szCs w:val="14"/>
                <w:b w:val="1"/>
                <w:bCs w:val="1"/>
                <w:color w:val="auto"/>
              </w:rPr>
              <w:t>Plan Awards: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Value of</w:t>
            </w:r>
          </w:p>
        </w:tc>
        <w:tc>
          <w:tcPr>
            <w:tcW w:w="172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9"/>
              </w:rPr>
              <w:t>Number of</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or</w:t>
            </w:r>
          </w:p>
        </w:tc>
        <w:tc>
          <w:tcPr>
            <w:tcW w:w="172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rPr>
              <w:t>Unearned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or</w:t>
            </w: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Units of</w:t>
            </w:r>
          </w:p>
        </w:tc>
        <w:tc>
          <w:tcPr>
            <w:tcW w:w="172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rPr>
              <w:t>Shares or Units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Units of Stock</w:t>
            </w: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 That</w:t>
            </w:r>
          </w:p>
        </w:tc>
        <w:tc>
          <w:tcPr>
            <w:tcW w:w="1720" w:type="dxa"/>
            <w:vAlign w:val="bottom"/>
            <w:gridSpan w:val="2"/>
          </w:tcPr>
          <w:p>
            <w:pPr>
              <w:jc w:val="right"/>
              <w:ind w:right="644"/>
              <w:spacing w:after="0"/>
              <w:rPr>
                <w:sz w:val="20"/>
                <w:szCs w:val="20"/>
                <w:color w:val="auto"/>
              </w:rPr>
            </w:pPr>
            <w:r>
              <w:rPr>
                <w:rFonts w:ascii="Arial" w:cs="Arial" w:eastAsia="Arial" w:hAnsi="Arial"/>
                <w:sz w:val="14"/>
                <w:szCs w:val="14"/>
                <w:b w:val="1"/>
                <w:bCs w:val="1"/>
                <w:color w:val="auto"/>
              </w:rPr>
              <w:t>of Stock That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of Stock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That Have</w:t>
            </w: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Have Not</w:t>
            </w:r>
          </w:p>
        </w:tc>
        <w:tc>
          <w:tcPr>
            <w:tcW w:w="172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rPr>
              <w:t>Have Not</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7"/>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06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Not Vested</w:t>
            </w:r>
          </w:p>
        </w:tc>
        <w:tc>
          <w:tcPr>
            <w:tcW w:w="220" w:type="dxa"/>
            <w:vAlign w:val="bottom"/>
          </w:tcPr>
          <w:p>
            <w:pPr>
              <w:spacing w:after="0"/>
              <w:rPr>
                <w:sz w:val="13"/>
                <w:szCs w:val="13"/>
                <w:color w:val="auto"/>
              </w:rPr>
            </w:pPr>
          </w:p>
        </w:tc>
        <w:tc>
          <w:tcPr>
            <w:tcW w:w="128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Vested</w:t>
            </w:r>
          </w:p>
        </w:tc>
        <w:tc>
          <w:tcPr>
            <w:tcW w:w="1720" w:type="dxa"/>
            <w:vAlign w:val="bottom"/>
            <w:gridSpan w:val="2"/>
          </w:tcPr>
          <w:p>
            <w:pPr>
              <w:jc w:val="center"/>
              <w:ind w:right="544"/>
              <w:spacing w:after="0" w:line="157" w:lineRule="exact"/>
              <w:rPr>
                <w:sz w:val="20"/>
                <w:szCs w:val="20"/>
                <w:color w:val="auto"/>
              </w:rPr>
            </w:pPr>
            <w:r>
              <w:rPr>
                <w:rFonts w:ascii="Arial" w:cs="Arial" w:eastAsia="Arial" w:hAnsi="Arial"/>
                <w:sz w:val="14"/>
                <w:szCs w:val="14"/>
                <w:b w:val="1"/>
                <w:bCs w:val="1"/>
                <w:color w:val="auto"/>
              </w:rPr>
              <w:t>Vested</w:t>
            </w:r>
          </w:p>
        </w:tc>
        <w:tc>
          <w:tcPr>
            <w:tcW w:w="116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3"/>
        </w:trPr>
        <w:tc>
          <w:tcPr>
            <w:tcW w:w="40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340" w:type="dxa"/>
            <w:vAlign w:val="bottom"/>
            <w:gridSpan w:val="2"/>
          </w:tcPr>
          <w:p>
            <w:pPr>
              <w:jc w:val="center"/>
              <w:ind w:left="294"/>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480" w:type="dxa"/>
            <w:vAlign w:val="bottom"/>
          </w:tcPr>
          <w:p>
            <w:pPr>
              <w:spacing w:after="0"/>
              <w:rPr>
                <w:sz w:val="15"/>
                <w:szCs w:val="15"/>
                <w:color w:val="auto"/>
              </w:rPr>
            </w:pPr>
          </w:p>
        </w:tc>
        <w:tc>
          <w:tcPr>
            <w:tcW w:w="1080" w:type="dxa"/>
            <w:vAlign w:val="bottom"/>
            <w:gridSpan w:val="2"/>
          </w:tcPr>
          <w:p>
            <w:pPr>
              <w:jc w:val="center"/>
              <w:ind w:left="114"/>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420" w:type="dxa"/>
            <w:vAlign w:val="bottom"/>
          </w:tcPr>
          <w:p>
            <w:pPr>
              <w:spacing w:after="0"/>
              <w:rPr>
                <w:sz w:val="15"/>
                <w:szCs w:val="15"/>
                <w:color w:val="auto"/>
              </w:rPr>
            </w:pPr>
          </w:p>
        </w:tc>
        <w:tc>
          <w:tcPr>
            <w:tcW w:w="11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(4)</w:t>
            </w:r>
          </w:p>
        </w:tc>
        <w:tc>
          <w:tcPr>
            <w:tcW w:w="620" w:type="dxa"/>
            <w:vAlign w:val="bottom"/>
          </w:tcPr>
          <w:p>
            <w:pPr>
              <w:spacing w:after="0"/>
              <w:rPr>
                <w:sz w:val="15"/>
                <w:szCs w:val="15"/>
                <w:color w:val="auto"/>
              </w:rPr>
            </w:pPr>
          </w:p>
        </w:tc>
        <w:tc>
          <w:tcPr>
            <w:tcW w:w="11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60" w:type="dxa"/>
            <w:vAlign w:val="bottom"/>
            <w:tcBorders>
              <w:top w:val="single" w:sz="8" w:color="E5E5E5"/>
            </w:tcBorders>
            <w:gridSpan w:val="2"/>
            <w:shd w:val="clear" w:color="auto" w:fill="E5E5E5"/>
          </w:tcPr>
          <w:p>
            <w:pPr>
              <w:spacing w:after="0" w:line="170" w:lineRule="exact"/>
              <w:rPr>
                <w:sz w:val="20"/>
                <w:szCs w:val="20"/>
                <w:color w:val="auto"/>
              </w:rPr>
            </w:pPr>
            <w:r>
              <w:rPr>
                <w:rFonts w:ascii="Arial" w:cs="Arial" w:eastAsia="Arial" w:hAnsi="Arial"/>
                <w:sz w:val="18"/>
                <w:szCs w:val="18"/>
                <w:color w:val="auto"/>
              </w:rPr>
              <w:t>Sumedh S. Thakar</w:t>
            </w:r>
          </w:p>
        </w:tc>
        <w:tc>
          <w:tcPr>
            <w:tcW w:w="36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10/28/2021</w:t>
            </w:r>
          </w:p>
        </w:tc>
        <w:tc>
          <w:tcPr>
            <w:tcW w:w="40" w:type="dxa"/>
            <w:vAlign w:val="bottom"/>
            <w:tcBorders>
              <w:top w:val="single" w:sz="8" w:color="E5E5E5"/>
            </w:tcBorders>
            <w:shd w:val="clear" w:color="auto" w:fill="E5E5E5"/>
          </w:tcPr>
          <w:p>
            <w:pPr>
              <w:spacing w:after="0"/>
              <w:rPr>
                <w:sz w:val="14"/>
                <w:szCs w:val="14"/>
                <w:color w:val="auto"/>
              </w:rPr>
            </w:pPr>
          </w:p>
        </w:tc>
        <w:tc>
          <w:tcPr>
            <w:tcW w:w="38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ind w:left="680"/>
              <w:spacing w:after="0" w:line="170"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E5E5E5"/>
            </w:tcBorders>
            <w:shd w:val="clear" w:color="auto" w:fill="E5E5E5"/>
          </w:tcPr>
          <w:p>
            <w:pPr>
              <w:spacing w:after="0"/>
              <w:rPr>
                <w:sz w:val="14"/>
                <w:szCs w:val="14"/>
                <w:color w:val="auto"/>
              </w:rPr>
            </w:pPr>
          </w:p>
        </w:tc>
        <w:tc>
          <w:tcPr>
            <w:tcW w:w="220" w:type="dxa"/>
            <w:vAlign w:val="bottom"/>
            <w:tcBorders>
              <w:top w:val="single" w:sz="8" w:color="E5E5E5"/>
            </w:tcBorders>
            <w:shd w:val="clear" w:color="auto" w:fill="E5E5E5"/>
          </w:tcPr>
          <w:p>
            <w:pPr>
              <w:spacing w:after="0"/>
              <w:rPr>
                <w:sz w:val="14"/>
                <w:szCs w:val="14"/>
                <w:color w:val="auto"/>
              </w:rPr>
            </w:pPr>
          </w:p>
        </w:tc>
        <w:tc>
          <w:tcPr>
            <w:tcW w:w="860" w:type="dxa"/>
            <w:vAlign w:val="bottom"/>
            <w:tcBorders>
              <w:top w:val="single" w:sz="8" w:color="auto"/>
            </w:tcBorders>
            <w:shd w:val="clear" w:color="auto" w:fill="E5E5E5"/>
          </w:tcPr>
          <w:p>
            <w:pPr>
              <w:jc w:val="right"/>
              <w:ind w:right="21"/>
              <w:spacing w:after="0" w:line="170"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E5E5E5"/>
            </w:tcBorders>
            <w:shd w:val="clear" w:color="auto" w:fill="E5E5E5"/>
          </w:tcPr>
          <w:p>
            <w:pPr>
              <w:spacing w:after="0"/>
              <w:rPr>
                <w:sz w:val="14"/>
                <w:szCs w:val="14"/>
                <w:color w:val="auto"/>
              </w:rPr>
            </w:pPr>
          </w:p>
        </w:tc>
        <w:tc>
          <w:tcPr>
            <w:tcW w:w="11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13,096</w:t>
            </w:r>
          </w:p>
        </w:tc>
        <w:tc>
          <w:tcPr>
            <w:tcW w:w="620" w:type="dxa"/>
            <w:vAlign w:val="bottom"/>
            <w:tcBorders>
              <w:top w:val="single" w:sz="8" w:color="E5E5E5"/>
            </w:tcBorders>
            <w:shd w:val="clear" w:color="auto" w:fill="E5E5E5"/>
          </w:tcPr>
          <w:p>
            <w:pPr>
              <w:jc w:val="right"/>
              <w:ind w:right="344"/>
              <w:spacing w:after="0" w:line="171" w:lineRule="exact"/>
              <w:rPr>
                <w:sz w:val="20"/>
                <w:szCs w:val="20"/>
                <w:color w:val="auto"/>
              </w:rPr>
            </w:pPr>
            <w:r>
              <w:rPr>
                <w:rFonts w:ascii="Arial" w:cs="Arial" w:eastAsia="Arial" w:hAnsi="Arial"/>
                <w:sz w:val="15"/>
                <w:szCs w:val="15"/>
                <w:color w:val="auto"/>
                <w:w w:val="97"/>
              </w:rPr>
              <w:t>(5)</w:t>
            </w:r>
          </w:p>
        </w:tc>
        <w:tc>
          <w:tcPr>
            <w:tcW w:w="11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1,797,033</w:t>
            </w:r>
          </w:p>
        </w:tc>
        <w:tc>
          <w:tcPr>
            <w:tcW w:w="60" w:type="dxa"/>
            <w:vAlign w:val="bottom"/>
            <w:tcBorders>
              <w:top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1820" w:type="dxa"/>
            <w:vAlign w:val="bottom"/>
            <w:gridSpan w:val="3"/>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39,288</w:t>
            </w:r>
            <w:r>
              <w:rPr>
                <w:rFonts w:ascii="Arial" w:cs="Arial" w:eastAsia="Arial" w:hAnsi="Arial"/>
                <w:sz w:val="15"/>
                <w:szCs w:val="15"/>
                <w:color w:val="auto"/>
              </w:rPr>
              <w:t>(6)</w:t>
            </w:r>
          </w:p>
        </w:tc>
        <w:tc>
          <w:tcPr>
            <w:tcW w:w="150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5,391,099</w:t>
            </w:r>
          </w:p>
        </w:tc>
        <w:tc>
          <w:tcPr>
            <w:tcW w:w="1720" w:type="dxa"/>
            <w:vAlign w:val="bottom"/>
            <w:gridSpan w:val="2"/>
            <w:shd w:val="clear" w:color="auto" w:fill="E5E5E5"/>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4/27/2021</w:t>
            </w:r>
          </w:p>
        </w:tc>
        <w:tc>
          <w:tcPr>
            <w:tcW w:w="38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ind w:left="6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E5E5E5"/>
          </w:tcPr>
          <w:p>
            <w:pPr>
              <w:jc w:val="right"/>
              <w:ind w:right="344"/>
              <w:spacing w:after="0" w:line="202" w:lineRule="exact"/>
              <w:rPr>
                <w:sz w:val="20"/>
                <w:szCs w:val="20"/>
                <w:color w:val="auto"/>
              </w:rPr>
            </w:pPr>
            <w:r>
              <w:rPr>
                <w:rFonts w:ascii="Arial" w:cs="Arial" w:eastAsia="Arial" w:hAnsi="Arial"/>
                <w:sz w:val="18"/>
                <w:szCs w:val="18"/>
                <w:color w:val="auto"/>
              </w:rPr>
              <w:t>9,671</w:t>
            </w:r>
            <w:r>
              <w:rPr>
                <w:rFonts w:ascii="Arial" w:cs="Arial" w:eastAsia="Arial" w:hAnsi="Arial"/>
                <w:sz w:val="15"/>
                <w:szCs w:val="15"/>
                <w:color w:val="auto"/>
              </w:rPr>
              <w:t>(7)</w:t>
            </w:r>
          </w:p>
        </w:tc>
        <w:tc>
          <w:tcPr>
            <w:tcW w:w="11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1,327,055</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4/27/2021</w:t>
            </w:r>
          </w:p>
        </w:tc>
        <w:tc>
          <w:tcPr>
            <w:tcW w:w="40" w:type="dxa"/>
            <w:vAlign w:val="bottom"/>
            <w:shd w:val="clear" w:color="auto" w:fill="E5E5E5"/>
          </w:tcPr>
          <w:p>
            <w:pPr>
              <w:spacing w:after="0"/>
              <w:rPr>
                <w:sz w:val="17"/>
                <w:szCs w:val="17"/>
                <w:color w:val="auto"/>
              </w:rPr>
            </w:pPr>
          </w:p>
        </w:tc>
        <w:tc>
          <w:tcPr>
            <w:tcW w:w="1820" w:type="dxa"/>
            <w:vAlign w:val="bottom"/>
            <w:gridSpan w:val="3"/>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8,463</w:t>
            </w:r>
            <w:r>
              <w:rPr>
                <w:rFonts w:ascii="Arial" w:cs="Arial" w:eastAsia="Arial" w:hAnsi="Arial"/>
                <w:sz w:val="15"/>
                <w:szCs w:val="15"/>
                <w:color w:val="auto"/>
              </w:rPr>
              <w:t>(8)</w:t>
            </w:r>
          </w:p>
        </w:tc>
        <w:tc>
          <w:tcPr>
            <w:tcW w:w="150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1,161,293</w:t>
            </w:r>
          </w:p>
        </w:tc>
        <w:tc>
          <w:tcPr>
            <w:tcW w:w="1720" w:type="dxa"/>
            <w:vAlign w:val="bottom"/>
            <w:gridSpan w:val="2"/>
            <w:shd w:val="clear" w:color="auto" w:fill="E5E5E5"/>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10/27/2020</w:t>
            </w:r>
          </w:p>
        </w:tc>
        <w:tc>
          <w:tcPr>
            <w:tcW w:w="40" w:type="dxa"/>
            <w:vAlign w:val="bottom"/>
            <w:shd w:val="clear" w:color="auto" w:fill="E5E5E5"/>
          </w:tcPr>
          <w:p>
            <w:pPr>
              <w:spacing w:after="0"/>
              <w:rPr>
                <w:sz w:val="17"/>
                <w:szCs w:val="17"/>
                <w:color w:val="auto"/>
              </w:rPr>
            </w:pPr>
          </w:p>
        </w:tc>
        <w:tc>
          <w:tcPr>
            <w:tcW w:w="1820" w:type="dxa"/>
            <w:vAlign w:val="bottom"/>
            <w:gridSpan w:val="3"/>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60,810</w:t>
            </w:r>
            <w:r>
              <w:rPr>
                <w:rFonts w:ascii="Arial" w:cs="Arial" w:eastAsia="Arial" w:hAnsi="Arial"/>
                <w:sz w:val="15"/>
                <w:szCs w:val="15"/>
                <w:color w:val="auto"/>
              </w:rPr>
              <w:t>(9)</w:t>
            </w:r>
          </w:p>
        </w:tc>
        <w:tc>
          <w:tcPr>
            <w:tcW w:w="150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8,344,348</w:t>
            </w:r>
          </w:p>
        </w:tc>
        <w:tc>
          <w:tcPr>
            <w:tcW w:w="1720" w:type="dxa"/>
            <w:vAlign w:val="bottom"/>
            <w:gridSpan w:val="2"/>
            <w:shd w:val="clear" w:color="auto" w:fill="E5E5E5"/>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10/24/2019</w:t>
            </w:r>
          </w:p>
        </w:tc>
        <w:tc>
          <w:tcPr>
            <w:tcW w:w="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41,107</w:t>
            </w:r>
            <w:r>
              <w:rPr>
                <w:rFonts w:ascii="Arial" w:cs="Arial" w:eastAsia="Arial" w:hAnsi="Arial"/>
                <w:sz w:val="15"/>
                <w:szCs w:val="15"/>
                <w:color w:val="auto"/>
              </w:rPr>
              <w:t>(10)</w:t>
            </w:r>
          </w:p>
        </w:tc>
        <w:tc>
          <w:tcPr>
            <w:tcW w:w="150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5,640,703</w:t>
            </w:r>
          </w:p>
        </w:tc>
        <w:tc>
          <w:tcPr>
            <w:tcW w:w="1720" w:type="dxa"/>
            <w:vAlign w:val="bottom"/>
            <w:gridSpan w:val="2"/>
            <w:shd w:val="clear" w:color="auto" w:fill="E5E5E5"/>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30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10/25/2018</w:t>
            </w:r>
          </w:p>
        </w:tc>
        <w:tc>
          <w:tcPr>
            <w:tcW w:w="4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4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16,776</w:t>
            </w:r>
            <w:r>
              <w:rPr>
                <w:rFonts w:ascii="Arial" w:cs="Arial" w:eastAsia="Arial" w:hAnsi="Arial"/>
                <w:sz w:val="15"/>
                <w:szCs w:val="15"/>
                <w:color w:val="auto"/>
              </w:rPr>
              <w:t>(11)</w:t>
            </w:r>
          </w:p>
        </w:tc>
        <w:tc>
          <w:tcPr>
            <w:tcW w:w="1500" w:type="dxa"/>
            <w:vAlign w:val="bottom"/>
            <w:gridSpan w:val="3"/>
            <w:shd w:val="clear" w:color="auto" w:fill="E5E5E5"/>
          </w:tcPr>
          <w:p>
            <w:pPr>
              <w:jc w:val="right"/>
              <w:ind w:right="420"/>
              <w:spacing w:after="0"/>
              <w:rPr>
                <w:sz w:val="20"/>
                <w:szCs w:val="20"/>
                <w:color w:val="auto"/>
              </w:rPr>
            </w:pPr>
            <w:r>
              <w:rPr>
                <w:rFonts w:ascii="Arial" w:cs="Arial" w:eastAsia="Arial" w:hAnsi="Arial"/>
                <w:sz w:val="18"/>
                <w:szCs w:val="18"/>
                <w:color w:val="auto"/>
              </w:rPr>
              <w:t>2,302,003</w:t>
            </w:r>
          </w:p>
        </w:tc>
        <w:tc>
          <w:tcPr>
            <w:tcW w:w="1720" w:type="dxa"/>
            <w:vAlign w:val="bottom"/>
            <w:gridSpan w:val="2"/>
            <w:shd w:val="clear" w:color="auto" w:fill="E5E5E5"/>
          </w:tcPr>
          <w:p>
            <w:pPr>
              <w:jc w:val="right"/>
              <w:ind w:right="64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tcPr>
          <w:p>
            <w:pPr>
              <w:spacing w:after="0" w:line="183" w:lineRule="exact"/>
              <w:rPr>
                <w:sz w:val="20"/>
                <w:szCs w:val="20"/>
                <w:color w:val="auto"/>
              </w:rPr>
            </w:pPr>
            <w:r>
              <w:rPr>
                <w:rFonts w:ascii="Arial" w:cs="Arial" w:eastAsia="Arial" w:hAnsi="Arial"/>
                <w:sz w:val="18"/>
                <w:szCs w:val="18"/>
                <w:color w:val="auto"/>
              </w:rPr>
              <w:t>Joo Mi Kim</w:t>
            </w:r>
          </w:p>
        </w:tc>
        <w:tc>
          <w:tcPr>
            <w:tcW w:w="3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10/28/2021</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ind w:left="680"/>
              <w:spacing w:after="0" w:line="18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80" w:type="dxa"/>
            <w:vAlign w:val="bottom"/>
            <w:gridSpan w:val="2"/>
          </w:tcPr>
          <w:p>
            <w:pPr>
              <w:jc w:val="right"/>
              <w:ind w:right="520"/>
              <w:spacing w:after="0" w:line="183"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4"/>
              <w:spacing w:after="0" w:line="183" w:lineRule="exact"/>
              <w:rPr>
                <w:sz w:val="20"/>
                <w:szCs w:val="20"/>
                <w:color w:val="auto"/>
              </w:rPr>
            </w:pPr>
            <w:r>
              <w:rPr>
                <w:rFonts w:ascii="Arial" w:cs="Arial" w:eastAsia="Arial" w:hAnsi="Arial"/>
                <w:sz w:val="18"/>
                <w:szCs w:val="18"/>
                <w:color w:val="auto"/>
              </w:rPr>
              <w:t>4,729</w:t>
            </w:r>
            <w:r>
              <w:rPr>
                <w:rFonts w:ascii="Arial" w:cs="Arial" w:eastAsia="Arial" w:hAnsi="Arial"/>
                <w:sz w:val="15"/>
                <w:szCs w:val="15"/>
                <w:color w:val="auto"/>
              </w:rPr>
              <w:t>(5)</w:t>
            </w:r>
          </w:p>
        </w:tc>
        <w:tc>
          <w:tcPr>
            <w:tcW w:w="11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648,913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18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33,100</w:t>
            </w:r>
            <w:r>
              <w:rPr>
                <w:rFonts w:ascii="Arial" w:cs="Arial" w:eastAsia="Arial" w:hAnsi="Arial"/>
                <w:sz w:val="15"/>
                <w:szCs w:val="15"/>
                <w:color w:val="auto"/>
              </w:rPr>
              <w:t>(6)</w:t>
            </w: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4,541,982</w:t>
            </w:r>
          </w:p>
        </w:tc>
        <w:tc>
          <w:tcPr>
            <w:tcW w:w="1720" w:type="dxa"/>
            <w:vAlign w:val="bottom"/>
            <w:gridSpan w:val="2"/>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10/27/2020</w:t>
            </w:r>
          </w:p>
        </w:tc>
        <w:tc>
          <w:tcPr>
            <w:tcW w:w="18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7,602</w:t>
            </w:r>
            <w:r>
              <w:rPr>
                <w:rFonts w:ascii="Arial" w:cs="Arial" w:eastAsia="Arial" w:hAnsi="Arial"/>
                <w:sz w:val="15"/>
                <w:szCs w:val="15"/>
                <w:color w:val="auto"/>
              </w:rPr>
              <w:t>(9)</w:t>
            </w: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1,043,146</w:t>
            </w:r>
          </w:p>
        </w:tc>
        <w:tc>
          <w:tcPr>
            <w:tcW w:w="1720" w:type="dxa"/>
            <w:vAlign w:val="bottom"/>
            <w:gridSpan w:val="2"/>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7/29/2020</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26,053</w:t>
            </w:r>
            <w:r>
              <w:rPr>
                <w:rFonts w:ascii="Arial" w:cs="Arial" w:eastAsia="Arial" w:hAnsi="Arial"/>
                <w:sz w:val="15"/>
                <w:szCs w:val="15"/>
                <w:color w:val="auto"/>
              </w:rPr>
              <w:t>(12)</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3,574,993</w:t>
            </w:r>
          </w:p>
        </w:tc>
        <w:tc>
          <w:tcPr>
            <w:tcW w:w="172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shd w:val="clear" w:color="auto" w:fill="E5E5E5"/>
          </w:tcPr>
          <w:p>
            <w:pPr>
              <w:spacing w:after="0" w:line="183" w:lineRule="exact"/>
              <w:rPr>
                <w:sz w:val="20"/>
                <w:szCs w:val="20"/>
                <w:color w:val="auto"/>
              </w:rPr>
            </w:pPr>
            <w:r>
              <w:rPr>
                <w:rFonts w:ascii="Arial" w:cs="Arial" w:eastAsia="Arial" w:hAnsi="Arial"/>
                <w:sz w:val="18"/>
                <w:szCs w:val="18"/>
                <w:color w:val="auto"/>
              </w:rPr>
              <w:t>Allan Peters</w:t>
            </w:r>
          </w:p>
        </w:tc>
        <w:tc>
          <w:tcPr>
            <w:tcW w:w="1360" w:type="dxa"/>
            <w:vAlign w:val="bottom"/>
            <w:gridSpan w:val="3"/>
            <w:shd w:val="clear" w:color="auto" w:fill="E5E5E5"/>
          </w:tcPr>
          <w:p>
            <w:pPr>
              <w:jc w:val="right"/>
              <w:ind w:right="40"/>
              <w:spacing w:after="0" w:line="183" w:lineRule="exact"/>
              <w:rPr>
                <w:sz w:val="20"/>
                <w:szCs w:val="20"/>
                <w:color w:val="auto"/>
              </w:rPr>
            </w:pPr>
            <w:r>
              <w:rPr>
                <w:rFonts w:ascii="Arial" w:cs="Arial" w:eastAsia="Arial" w:hAnsi="Arial"/>
                <w:sz w:val="18"/>
                <w:szCs w:val="18"/>
                <w:color w:val="auto"/>
              </w:rPr>
              <w:t>10/28/2021</w:t>
            </w:r>
          </w:p>
        </w:tc>
        <w:tc>
          <w:tcPr>
            <w:tcW w:w="380" w:type="dxa"/>
            <w:vAlign w:val="bottom"/>
            <w:shd w:val="clear" w:color="auto" w:fill="E5E5E5"/>
          </w:tcPr>
          <w:p>
            <w:pPr>
              <w:spacing w:after="0"/>
              <w:rPr>
                <w:sz w:val="15"/>
                <w:szCs w:val="15"/>
                <w:color w:val="auto"/>
              </w:rPr>
            </w:pPr>
          </w:p>
        </w:tc>
        <w:tc>
          <w:tcPr>
            <w:tcW w:w="1440" w:type="dxa"/>
            <w:vAlign w:val="bottom"/>
            <w:gridSpan w:val="2"/>
            <w:shd w:val="clear" w:color="auto" w:fill="E5E5E5"/>
          </w:tcPr>
          <w:p>
            <w:pPr>
              <w:ind w:left="680"/>
              <w:spacing w:after="0" w:line="183"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5"/>
                <w:szCs w:val="15"/>
                <w:color w:val="auto"/>
              </w:rPr>
            </w:pPr>
          </w:p>
        </w:tc>
        <w:tc>
          <w:tcPr>
            <w:tcW w:w="1280" w:type="dxa"/>
            <w:vAlign w:val="bottom"/>
            <w:gridSpan w:val="2"/>
            <w:shd w:val="clear" w:color="auto" w:fill="E5E5E5"/>
          </w:tcPr>
          <w:p>
            <w:pPr>
              <w:jc w:val="right"/>
              <w:ind w:right="520"/>
              <w:spacing w:after="0" w:line="183"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E5E5E5"/>
          </w:tcPr>
          <w:p>
            <w:pPr>
              <w:jc w:val="right"/>
              <w:ind w:right="344"/>
              <w:spacing w:after="0" w:line="183" w:lineRule="exact"/>
              <w:rPr>
                <w:sz w:val="20"/>
                <w:szCs w:val="20"/>
                <w:color w:val="auto"/>
              </w:rPr>
            </w:pPr>
            <w:r>
              <w:rPr>
                <w:rFonts w:ascii="Arial" w:cs="Arial" w:eastAsia="Arial" w:hAnsi="Arial"/>
                <w:sz w:val="18"/>
                <w:szCs w:val="18"/>
                <w:color w:val="auto"/>
              </w:rPr>
              <w:t>3,638</w:t>
            </w:r>
            <w:r>
              <w:rPr>
                <w:rFonts w:ascii="Arial" w:cs="Arial" w:eastAsia="Arial" w:hAnsi="Arial"/>
                <w:sz w:val="15"/>
                <w:szCs w:val="15"/>
                <w:color w:val="auto"/>
              </w:rPr>
              <w:t>(5)</w:t>
            </w:r>
          </w:p>
        </w:tc>
        <w:tc>
          <w:tcPr>
            <w:tcW w:w="1160" w:type="dxa"/>
            <w:vAlign w:val="bottom"/>
            <w:gridSpan w:val="2"/>
            <w:shd w:val="clear" w:color="auto" w:fill="E5E5E5"/>
          </w:tcPr>
          <w:p>
            <w:pPr>
              <w:jc w:val="right"/>
              <w:ind w:right="60"/>
              <w:spacing w:after="0" w:line="183" w:lineRule="exact"/>
              <w:rPr>
                <w:sz w:val="20"/>
                <w:szCs w:val="20"/>
                <w:color w:val="auto"/>
              </w:rPr>
            </w:pPr>
            <w:r>
              <w:rPr>
                <w:rFonts w:ascii="Arial" w:cs="Arial" w:eastAsia="Arial" w:hAnsi="Arial"/>
                <w:sz w:val="18"/>
                <w:szCs w:val="18"/>
                <w:color w:val="auto"/>
              </w:rPr>
              <w:t>499,206</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3060" w:type="dxa"/>
            <w:vAlign w:val="bottom"/>
            <w:shd w:val="clear" w:color="auto" w:fill="E5E5E5"/>
          </w:tcPr>
          <w:p>
            <w:pPr>
              <w:spacing w:after="0"/>
              <w:rPr>
                <w:sz w:val="19"/>
                <w:szCs w:val="19"/>
                <w:color w:val="auto"/>
              </w:rPr>
            </w:pPr>
          </w:p>
        </w:tc>
        <w:tc>
          <w:tcPr>
            <w:tcW w:w="136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8/3/2021</w:t>
            </w:r>
          </w:p>
        </w:tc>
        <w:tc>
          <w:tcPr>
            <w:tcW w:w="182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29,215</w:t>
            </w:r>
            <w:r>
              <w:rPr>
                <w:rFonts w:ascii="Arial" w:cs="Arial" w:eastAsia="Arial" w:hAnsi="Arial"/>
                <w:sz w:val="15"/>
                <w:szCs w:val="15"/>
                <w:color w:val="auto"/>
              </w:rPr>
              <w:t>(13)</w:t>
            </w:r>
          </w:p>
        </w:tc>
        <w:tc>
          <w:tcPr>
            <w:tcW w:w="1500" w:type="dxa"/>
            <w:vAlign w:val="bottom"/>
            <w:gridSpan w:val="3"/>
            <w:shd w:val="clear" w:color="auto" w:fill="E5E5E5"/>
          </w:tcPr>
          <w:p>
            <w:pPr>
              <w:jc w:val="right"/>
              <w:ind w:right="420"/>
              <w:spacing w:after="0"/>
              <w:rPr>
                <w:sz w:val="20"/>
                <w:szCs w:val="20"/>
                <w:color w:val="auto"/>
              </w:rPr>
            </w:pPr>
            <w:r>
              <w:rPr>
                <w:rFonts w:ascii="Arial" w:cs="Arial" w:eastAsia="Arial" w:hAnsi="Arial"/>
                <w:sz w:val="18"/>
                <w:szCs w:val="18"/>
                <w:color w:val="auto"/>
              </w:rPr>
              <w:t>4,008,882</w:t>
            </w:r>
          </w:p>
        </w:tc>
        <w:tc>
          <w:tcPr>
            <w:tcW w:w="1720" w:type="dxa"/>
            <w:vAlign w:val="bottom"/>
            <w:gridSpan w:val="2"/>
            <w:shd w:val="clear" w:color="auto" w:fill="E5E5E5"/>
          </w:tcPr>
          <w:p>
            <w:pPr>
              <w:jc w:val="right"/>
              <w:ind w:right="64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tcPr>
          <w:p>
            <w:pPr>
              <w:spacing w:after="0" w:line="183" w:lineRule="exact"/>
              <w:rPr>
                <w:sz w:val="20"/>
                <w:szCs w:val="20"/>
                <w:color w:val="auto"/>
              </w:rPr>
            </w:pPr>
            <w:r>
              <w:rPr>
                <w:rFonts w:ascii="Arial" w:cs="Arial" w:eastAsia="Arial" w:hAnsi="Arial"/>
                <w:sz w:val="18"/>
                <w:szCs w:val="18"/>
                <w:color w:val="auto"/>
              </w:rPr>
              <w:t>Bruce K. Posey</w:t>
            </w:r>
          </w:p>
        </w:tc>
        <w:tc>
          <w:tcPr>
            <w:tcW w:w="1360" w:type="dxa"/>
            <w:vAlign w:val="bottom"/>
            <w:gridSpan w:val="3"/>
          </w:tcPr>
          <w:p>
            <w:pPr>
              <w:jc w:val="right"/>
              <w:ind w:right="40"/>
              <w:spacing w:after="0" w:line="183" w:lineRule="exact"/>
              <w:rPr>
                <w:sz w:val="20"/>
                <w:szCs w:val="20"/>
                <w:color w:val="auto"/>
              </w:rPr>
            </w:pPr>
            <w:r>
              <w:rPr>
                <w:rFonts w:ascii="Arial" w:cs="Arial" w:eastAsia="Arial" w:hAnsi="Arial"/>
                <w:sz w:val="18"/>
                <w:szCs w:val="18"/>
                <w:color w:val="auto"/>
              </w:rPr>
              <w:t>10/28/2021</w:t>
            </w:r>
          </w:p>
        </w:tc>
        <w:tc>
          <w:tcPr>
            <w:tcW w:w="380" w:type="dxa"/>
            <w:vAlign w:val="bottom"/>
          </w:tcPr>
          <w:p>
            <w:pPr>
              <w:spacing w:after="0"/>
              <w:rPr>
                <w:sz w:val="15"/>
                <w:szCs w:val="15"/>
                <w:color w:val="auto"/>
              </w:rPr>
            </w:pPr>
          </w:p>
        </w:tc>
        <w:tc>
          <w:tcPr>
            <w:tcW w:w="1440" w:type="dxa"/>
            <w:vAlign w:val="bottom"/>
            <w:gridSpan w:val="2"/>
          </w:tcPr>
          <w:p>
            <w:pPr>
              <w:ind w:left="680"/>
              <w:spacing w:after="0" w:line="18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80" w:type="dxa"/>
            <w:vAlign w:val="bottom"/>
            <w:gridSpan w:val="2"/>
          </w:tcPr>
          <w:p>
            <w:pPr>
              <w:jc w:val="right"/>
              <w:ind w:right="520"/>
              <w:spacing w:after="0" w:line="183"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4"/>
              <w:spacing w:after="0" w:line="183" w:lineRule="exact"/>
              <w:rPr>
                <w:sz w:val="20"/>
                <w:szCs w:val="20"/>
                <w:color w:val="auto"/>
              </w:rPr>
            </w:pPr>
            <w:r>
              <w:rPr>
                <w:rFonts w:ascii="Arial" w:cs="Arial" w:eastAsia="Arial" w:hAnsi="Arial"/>
                <w:sz w:val="18"/>
                <w:szCs w:val="18"/>
                <w:color w:val="auto"/>
              </w:rPr>
              <w:t>2,969</w:t>
            </w:r>
            <w:r>
              <w:rPr>
                <w:rFonts w:ascii="Arial" w:cs="Arial" w:eastAsia="Arial" w:hAnsi="Arial"/>
                <w:sz w:val="15"/>
                <w:szCs w:val="15"/>
                <w:color w:val="auto"/>
              </w:rPr>
              <w:t>(5)</w:t>
            </w:r>
          </w:p>
        </w:tc>
        <w:tc>
          <w:tcPr>
            <w:tcW w:w="11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407,406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18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20,779</w:t>
            </w:r>
            <w:r>
              <w:rPr>
                <w:rFonts w:ascii="Arial" w:cs="Arial" w:eastAsia="Arial" w:hAnsi="Arial"/>
                <w:sz w:val="15"/>
                <w:szCs w:val="15"/>
                <w:color w:val="auto"/>
              </w:rPr>
              <w:t>(6)</w:t>
            </w: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2,851,294</w:t>
            </w:r>
          </w:p>
        </w:tc>
        <w:tc>
          <w:tcPr>
            <w:tcW w:w="1720" w:type="dxa"/>
            <w:vAlign w:val="bottom"/>
            <w:gridSpan w:val="2"/>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10/27/2020</w:t>
            </w:r>
          </w:p>
        </w:tc>
        <w:tc>
          <w:tcPr>
            <w:tcW w:w="18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24,324</w:t>
            </w:r>
            <w:r>
              <w:rPr>
                <w:rFonts w:ascii="Arial" w:cs="Arial" w:eastAsia="Arial" w:hAnsi="Arial"/>
                <w:sz w:val="15"/>
                <w:szCs w:val="15"/>
                <w:color w:val="auto"/>
              </w:rPr>
              <w:t>(9)</w:t>
            </w: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3,337,739</w:t>
            </w:r>
          </w:p>
        </w:tc>
        <w:tc>
          <w:tcPr>
            <w:tcW w:w="1720" w:type="dxa"/>
            <w:vAlign w:val="bottom"/>
            <w:gridSpan w:val="2"/>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10/24/2019</w:t>
            </w:r>
          </w:p>
        </w:tc>
        <w:tc>
          <w:tcPr>
            <w:tcW w:w="1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17,432</w:t>
            </w:r>
            <w:r>
              <w:rPr>
                <w:rFonts w:ascii="Arial" w:cs="Arial" w:eastAsia="Arial" w:hAnsi="Arial"/>
                <w:sz w:val="15"/>
                <w:szCs w:val="15"/>
                <w:color w:val="auto"/>
              </w:rPr>
              <w:t>(10)</w:t>
            </w: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2,392,019</w:t>
            </w:r>
          </w:p>
        </w:tc>
        <w:tc>
          <w:tcPr>
            <w:tcW w:w="1720" w:type="dxa"/>
            <w:vAlign w:val="bottom"/>
            <w:gridSpan w:val="2"/>
          </w:tcPr>
          <w:p>
            <w:pPr>
              <w:jc w:val="right"/>
              <w:ind w:right="644"/>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10/25/2018</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5,867</w:t>
            </w:r>
            <w:r>
              <w:rPr>
                <w:rFonts w:ascii="Arial" w:cs="Arial" w:eastAsia="Arial" w:hAnsi="Arial"/>
                <w:sz w:val="15"/>
                <w:szCs w:val="15"/>
                <w:color w:val="auto"/>
              </w:rPr>
              <w:t>(11)</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805,070</w:t>
            </w:r>
          </w:p>
        </w:tc>
        <w:tc>
          <w:tcPr>
            <w:tcW w:w="172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stock awards referenced in this table were granted under our 2012 Equity Incentive Plan.</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Stock awards in this column consist of unvested time-based RSUs.</w:t>
      </w:r>
    </w:p>
    <w:p>
      <w:pPr>
        <w:spacing w:after="0" w:line="126" w:lineRule="exact"/>
        <w:rPr>
          <w:rFonts w:ascii="Arial" w:cs="Arial" w:eastAsia="Arial" w:hAnsi="Arial"/>
          <w:sz w:val="16"/>
          <w:szCs w:val="16"/>
          <w:color w:val="auto"/>
        </w:rPr>
      </w:pPr>
    </w:p>
    <w:p>
      <w:pPr>
        <w:ind w:left="424" w:right="280" w:hanging="424"/>
        <w:spacing w:after="0" w:line="286" w:lineRule="auto"/>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Values reported were computed by multiplying (i) $137.22, the closing price on the Nasdaq Stock Market of our common stock on December 31, 2021, the last business day of fiscal 2021, by (ii) the number of shares or units of stock.</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Stock awards in this column consist of unvested PRSUs. Amounts reported are based on target performance measures.</w:t>
      </w:r>
    </w:p>
    <w:p>
      <w:pPr>
        <w:spacing w:after="0" w:line="126" w:lineRule="exact"/>
        <w:rPr>
          <w:rFonts w:ascii="Arial" w:cs="Arial" w:eastAsia="Arial" w:hAnsi="Arial"/>
          <w:sz w:val="16"/>
          <w:szCs w:val="16"/>
          <w:color w:val="auto"/>
        </w:rPr>
      </w:pPr>
    </w:p>
    <w:p>
      <w:pPr>
        <w:ind w:left="424" w:right="140" w:hanging="424"/>
        <w:spacing w:after="0" w:line="253" w:lineRule="auto"/>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number of shares subject to this PRSU award represents the first of three tranches of a multi-year PRSU award with one-year performance periods covering the calendar years 2022, 2023, and 2024,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in each of the first two years of the performance period, with cumulative achievement over 100% to be vested and released at the end of the third year of the performance period. Because the performance metrics for the second and third tranches of the PRSUs have not been established, such awards are not considered granted or outstanding under FASB ASC Topic 718 and are not included in this table.</w:t>
      </w:r>
    </w:p>
    <w:p>
      <w:pPr>
        <w:spacing w:after="0" w:line="86" w:lineRule="exact"/>
        <w:rPr>
          <w:rFonts w:ascii="Arial" w:cs="Arial" w:eastAsia="Arial" w:hAnsi="Arial"/>
          <w:sz w:val="16"/>
          <w:szCs w:val="16"/>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2022.</w:t>
      </w:r>
    </w:p>
    <w:p>
      <w:pPr>
        <w:spacing w:after="0" w:line="126" w:lineRule="exact"/>
        <w:rPr>
          <w:rFonts w:ascii="Arial" w:cs="Arial" w:eastAsia="Arial" w:hAnsi="Arial"/>
          <w:sz w:val="16"/>
          <w:szCs w:val="16"/>
          <w:color w:val="auto"/>
        </w:rPr>
      </w:pPr>
    </w:p>
    <w:p>
      <w:pPr>
        <w:ind w:left="424" w:right="20" w:hanging="424"/>
        <w:spacing w:after="0" w:line="266" w:lineRule="auto"/>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Subject to continued service through the date that performance is certified, the number of shares that will vest under this PRSU award will vary from 0% to 200% of target based on the compound annual growth rate of the Company’s revenues for a three-year period from January 2021 through December 2023 and the compound annual growth rate of free cash flow per share for the same three-year period.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4"/>
          </w:cols>
          <w:pgMar w:left="436" w:top="269" w:right="439" w:bottom="1440" w:gutter="0" w:footer="0" w:header="0"/>
        </w:sectPr>
      </w:pPr>
    </w:p>
    <w:bookmarkStart w:id="67" w:name="page68"/>
    <w:bookmarkEnd w:id="67"/>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RSUs vest quarterly in equal installments over four years, with the first vesting date on August 1, 2021.</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2021.</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2020.</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2019.</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October 1, 2020.</w:t>
      </w:r>
    </w:p>
    <w:p>
      <w:pPr>
        <w:spacing w:after="0" w:line="126" w:lineRule="exact"/>
        <w:rPr>
          <w:rFonts w:ascii="Arial" w:cs="Arial" w:eastAsia="Arial" w:hAnsi="Arial"/>
          <w:sz w:val="16"/>
          <w:szCs w:val="16"/>
          <w:color w:val="auto"/>
        </w:rPr>
      </w:pPr>
    </w:p>
    <w:p>
      <w:pPr>
        <w:ind w:left="424" w:right="340" w:hanging="424"/>
        <w:spacing w:after="0" w:line="286" w:lineRule="auto"/>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RSUs vest over four years, with 25% of the RSUs vesting on June 1, 2022, and the remaining RSUs vesting quarterly in equal installments thereafter.</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 Exercises and Stock Vested in 2021 Table</w:t>
      </w:r>
    </w:p>
    <w:p>
      <w:pPr>
        <w:spacing w:after="0" w:line="104"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8"/>
          <w:szCs w:val="18"/>
          <w:color w:val="auto"/>
        </w:rPr>
        <w:t>The following table sets forth the number of shares of common stock acquired during 2021 by our named executive officers upon the exercise of stock options and the vesting of restricted stock unit awards and the value realized upon such exercise or vesting.</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500" w:type="dxa"/>
            <w:vAlign w:val="bottom"/>
            <w:gridSpan w:val="4"/>
          </w:tcPr>
          <w:p>
            <w:pPr>
              <w:ind w:left="600"/>
              <w:spacing w:after="0"/>
              <w:rPr>
                <w:sz w:val="20"/>
                <w:szCs w:val="20"/>
                <w:color w:val="auto"/>
              </w:rPr>
            </w:pPr>
            <w:r>
              <w:rPr>
                <w:rFonts w:ascii="Arial" w:cs="Arial" w:eastAsia="Arial" w:hAnsi="Arial"/>
                <w:sz w:val="14"/>
                <w:szCs w:val="14"/>
                <w:b w:val="1"/>
                <w:bCs w:val="1"/>
                <w:color w:val="auto"/>
              </w:rPr>
              <w:t>Option Awards</w:t>
            </w:r>
          </w:p>
        </w:tc>
        <w:tc>
          <w:tcPr>
            <w:tcW w:w="236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Number of</w:t>
            </w:r>
          </w:p>
        </w:tc>
        <w:tc>
          <w:tcPr>
            <w:tcW w:w="10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2"/>
                <w:szCs w:val="12"/>
                <w:color w:val="auto"/>
              </w:rPr>
            </w:pPr>
          </w:p>
        </w:tc>
        <w:tc>
          <w:tcPr>
            <w:tcW w:w="120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Number of</w:t>
            </w: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Realized 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760" w:type="dxa"/>
            <w:vAlign w:val="bottom"/>
            <w:vMerge w:val="restart"/>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Acquired on</w:t>
            </w: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Exercise</w:t>
            </w:r>
          </w:p>
        </w:tc>
        <w:tc>
          <w:tcPr>
            <w:tcW w:w="12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Acquired on</w:t>
            </w:r>
          </w:p>
        </w:tc>
        <w:tc>
          <w:tcPr>
            <w:tcW w:w="11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83"/>
        </w:trPr>
        <w:tc>
          <w:tcPr>
            <w:tcW w:w="40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w:t>
            </w:r>
          </w:p>
        </w:tc>
        <w:tc>
          <w:tcPr>
            <w:tcW w:w="1060" w:type="dxa"/>
            <w:vAlign w:val="bottom"/>
          </w:tcPr>
          <w:p>
            <w:pPr>
              <w:jc w:val="center"/>
              <w:spacing w:after="0" w:line="16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2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Vesting (#)</w:t>
            </w:r>
          </w:p>
        </w:tc>
        <w:tc>
          <w:tcPr>
            <w:tcW w:w="1160" w:type="dxa"/>
            <w:vAlign w:val="bottom"/>
            <w:gridSpan w:val="2"/>
          </w:tcPr>
          <w:p>
            <w:pPr>
              <w:jc w:val="center"/>
              <w:ind w:right="80"/>
              <w:spacing w:after="0" w:line="164" w:lineRule="exact"/>
              <w:rPr>
                <w:sz w:val="20"/>
                <w:szCs w:val="20"/>
                <w:color w:val="auto"/>
              </w:rPr>
            </w:pPr>
            <w:r>
              <w:rPr>
                <w:rFonts w:ascii="Arial" w:cs="Arial" w:eastAsia="Arial" w:hAnsi="Arial"/>
                <w:sz w:val="11"/>
                <w:szCs w:val="11"/>
                <w:b w:val="1"/>
                <w:bCs w:val="1"/>
                <w:color w:val="auto"/>
              </w:rPr>
              <w:t>Vesting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89"/>
        </w:trPr>
        <w:tc>
          <w:tcPr>
            <w:tcW w:w="6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56,500</w:t>
            </w: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6,487,418</w:t>
            </w:r>
          </w:p>
        </w:tc>
        <w:tc>
          <w:tcPr>
            <w:tcW w:w="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86,814</w:t>
            </w: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10,256,705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6160" w:type="dxa"/>
            <w:vAlign w:val="bottom"/>
            <w:gridSpan w:val="2"/>
          </w:tcPr>
          <w:p>
            <w:pPr>
              <w:spacing w:after="0"/>
              <w:rPr>
                <w:sz w:val="20"/>
                <w:szCs w:val="20"/>
                <w:color w:val="auto"/>
              </w:rPr>
            </w:pPr>
            <w:r>
              <w:rPr>
                <w:rFonts w:ascii="Arial" w:cs="Arial" w:eastAsia="Arial" w:hAnsi="Arial"/>
                <w:sz w:val="18"/>
                <w:szCs w:val="18"/>
                <w:color w:val="auto"/>
              </w:rPr>
              <w:t>Philippe F. Courtot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347,600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15,633,280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224,204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24,246,231</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5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12,006</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1,335,567</w:t>
            </w:r>
          </w:p>
        </w:tc>
        <w:tc>
          <w:tcPr>
            <w:tcW w:w="0" w:type="dxa"/>
            <w:vAlign w:val="bottom"/>
          </w:tcPr>
          <w:p>
            <w:pPr>
              <w:spacing w:after="0"/>
              <w:rPr>
                <w:sz w:val="1"/>
                <w:szCs w:val="1"/>
                <w:color w:val="auto"/>
              </w:rPr>
            </w:pPr>
          </w:p>
        </w:tc>
      </w:tr>
      <w:tr>
        <w:trPr>
          <w:trHeight w:val="328"/>
        </w:trPr>
        <w:tc>
          <w:tcPr>
            <w:tcW w:w="6160" w:type="dxa"/>
            <w:vAlign w:val="bottom"/>
            <w:gridSpan w:val="2"/>
          </w:tcPr>
          <w:p>
            <w:pPr>
              <w:spacing w:after="0"/>
              <w:rPr>
                <w:sz w:val="20"/>
                <w:szCs w:val="20"/>
                <w:color w:val="auto"/>
              </w:rPr>
            </w:pPr>
            <w:r>
              <w:rPr>
                <w:rFonts w:ascii="Arial" w:cs="Arial" w:eastAsia="Arial" w:hAnsi="Arial"/>
                <w:sz w:val="18"/>
                <w:szCs w:val="18"/>
                <w:color w:val="auto"/>
              </w:rPr>
              <w:t>Allan Peters</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5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56,000</w:t>
            </w: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5,873,840</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27,709</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3,268,378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24" w:right="100" w:hanging="424"/>
        <w:spacing w:after="0" w:line="241"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04" w:lineRule="exact"/>
        <w:rPr>
          <w:sz w:val="20"/>
          <w:szCs w:val="20"/>
          <w:color w:val="auto"/>
        </w:rPr>
      </w:pPr>
    </w:p>
    <w:p>
      <w:pPr>
        <w:ind w:left="4" w:right="660" w:firstLine="440"/>
        <w:spacing w:after="0" w:line="271"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2021.</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4"/>
          </w:cols>
          <w:pgMar w:left="436" w:top="274"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 Payments Upon Termination or Change in Control</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Sumedh S. Thakar Equity Award Agreements</w:t>
      </w:r>
    </w:p>
    <w:p>
      <w:pPr>
        <w:spacing w:after="0" w:line="102"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Mr. Thakar was granted (i) on October 25, 2018, an award of 67,104 RSUs, with a vesting commencement date of November 1, 2018, which was his annual refresh award for 2019, (ii) on October 24, 2019, an award of 82,214 RSUs with a vesting commencement date of November 1, 2019, which was his annual refresh award for 2020, (iii) on October 27, 2020, an award of 81,079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Thakar’s continued service through each such date. If, within 12 months following a “change in control” (as defined in the 2012 Plan) of Qualys, Mr. Thakar’s employment is terminated by Qualys other than for “cause” (as defined in the respective RSU agreement), death or disability, or he resigns for “good reason” (as defined in the respective RSU agreement), then, in each case, subject to the execution of a release of claims, 50% of the then-unvested portion of each award set forth above will accelerate. If Mr. Thakar’s employment is terminated by reason of death or disability, 100% of the then-unvested portion of each award set forth above will accelerate.</w:t>
      </w:r>
    </w:p>
    <w:p>
      <w:pPr>
        <w:spacing w:after="0" w:line="186"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The vesting acceleration provisions described above (other than the vesting acceleration upon a termination due to death or disability) were superseded by the severance and change of control policy for our CEO approved by our board of directors in April 2021, which is described below in the section entitled “—</w:t>
      </w:r>
      <w:r>
        <w:rPr>
          <w:rFonts w:ascii="Arial" w:cs="Arial" w:eastAsia="Arial" w:hAnsi="Arial"/>
          <w:sz w:val="18"/>
          <w:szCs w:val="18"/>
          <w:i w:val="1"/>
          <w:iCs w:val="1"/>
          <w:color w:val="auto"/>
        </w:rPr>
        <w:t>Severance and Change of Control Policies.</w:t>
      </w:r>
      <w:r>
        <w:rPr>
          <w:rFonts w:ascii="Arial" w:cs="Arial" w:eastAsia="Arial" w:hAnsi="Arial"/>
          <w:sz w:val="18"/>
          <w:szCs w:val="18"/>
          <w:color w:val="auto"/>
        </w:rPr>
        <w:t>”</w:t>
      </w:r>
    </w:p>
    <w:p>
      <w:pPr>
        <w:spacing w:after="0" w:line="169"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In addition, Mr. Thakar was granted (i) on April 27, 2021, an award of 9,671 RSUs, with a vesting commencement date of May 1, 2021, (ii) on April 27, 2021, an award of PRSUs (covering a target number of 9,671 PRSUs) that are scheduled to vest based on achievement of goals related to revenue growth for a three-year period from January 2021 through December 2023 and free cash flow per share growth for the same three-year period, (iii) on October 28, 2021, an award of 39,288 RSUs, with a vesting commencement date of November 1, 2021, and (iv) on October 28, 2021, an award of PRSUs (covering a target number of 39,288 PRSUs) that are scheduled to vest based on achievement of goals related to the revenue growth for a three-year period from January 2022 through December 2024 and Adjusted EBITDA margin targets for the applicable year in the same three-year period. Each award is subject to the vesting acceleration provisions in the severance and change of control policy for our CEO. If Mr. Thakar’s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Philippe F. Courtot Equity Award Agreements</w:t>
      </w:r>
    </w:p>
    <w:p>
      <w:pPr>
        <w:spacing w:after="0" w:line="102"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Mr. Courtot was granted on December 21, 2018, an award consisting of (i) 56,250 RSUs with a vesting commencement date of January 1, 2019, (ii) PRSUs (covering a target number of 33,089 PRSUs) that were scheduled to vest based on achievement of goals related to revenue growth for a three-year period from January 2019 through December 2021 and adjusted EBITDA margin for the 2021 fiscal year, subject to Mr. Courtot’s continued service, and (iii) PRSUs (covering a target number of 33,088 PRSUs) that were scheduled to vest in three increments based on the achievement of goals related to revenue growth and adjusted EBITDA margin for each of the 2019, 2020 and 2021 fiscal years, subject to Mr. Courtot’s continued service. The 56,250 RSUs were scheduled to vest in equal quarterly increments over four years following the vesting commencement date, subject to Mr. Courtot’s continued service through each such date. This award of RSUs and PRSUs represented his annual refresh award for 2019 and was granted pursuant to the 2012 Plan and an individual RSU agreement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69" w:right="459" w:bottom="1440" w:gutter="0" w:footer="0" w:header="0"/>
        </w:sectPr>
      </w:pPr>
    </w:p>
    <w:bookmarkStart w:id="69" w:name="page70"/>
    <w:bookmarkEnd w:id="69"/>
    <w:p>
      <w:pPr>
        <w:ind w:firstLine="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Courtot was granted on November 2, 2019, (i) an award of 48,683 RSUs with a vesting commencement date of December 1, 2019, and (ii) performance-based options covering a total of 123,856 shares at the target level of performance (or 247,712 shares at the maximum level of performance). These awards together represented his annual refresh award for 2020. Each of these awards were granted pursuant to the 2012 Plan and an individual RSU or stock option agreement thereunder. The 48,683 RSUs were scheduled to vest in equal quarterly increments over four years following the vesting commencement date, subject to Mr. Courtot’s continued service through each such date. The performance-based options were scheduled to vest based on the compound annual growth rate of revenues for a three-year period from January 2020 through December 2022 and the compound annual growth rate of free cash flow per share for the same three-year period, subject to Mr. Courtot’s continued service through the date that performance is certified.</w:t>
      </w:r>
    </w:p>
    <w:p>
      <w:pPr>
        <w:spacing w:after="0" w:line="180"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Mr. Courtot was granted on December 10, 2020, (i) an award of 69,401 RSUs with a vesting commencement date of November 1, 2020, and (ii) performance-based options covering a total of 223,744 shares at the target level of performance (or 447,488 shares at the maximum level of performance). These awards together represented his annual refresh award for 2021 and were granted pursuant to the 2012 Plan and an individual RSU or stock option agreement thereunder. The 69,401 RSUs were scheduled to vest in equal quarterly increments over four years following the vesting commencement date, subject to Mr. Courtot’s continued service through each such date. The performance-based options were scheduled to vest based on the compound annual growth rate of revenues for a three-year period from January 2021 through December 2023 and the compound annual growth rate of free cash flow per share for the same three-year period, subject to Mr. Courtot’s continued service through the date that performance is certified.</w:t>
      </w:r>
    </w:p>
    <w:p>
      <w:pPr>
        <w:spacing w:after="0" w:line="180"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awards described above provided that if Mr. Courtot’s employment was terminated by reason of death or disability, then 100% of the then-unvested RSUs, 100% of the target number of PRSUs, and 100% of the target number of shares subject to the performance-based options would accelerate.</w:t>
      </w:r>
    </w:p>
    <w:p>
      <w:pPr>
        <w:spacing w:after="0" w:line="169"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color w:val="auto"/>
        </w:rPr>
        <w:t>The Compensation and Talent Committee of our board of directors determined that Mr. Courtot’s termination of employment on March 19, 2021 was a termination on account of disability. In accordance with the foregoing award agreements, the outstanding and unvested portion of the awards was 100% fully accelerated (in the case of the PRSUs and performance-based options, at target levels) as of the date of his termination of employment. Based on $100.77 per share, which was the closing price per share on the Nasdaq Stock Market of our common stock on March 19, 2021, and minus the aggregate exercise price for stock options, the total value of this accelerated vesting was $20,715,894.</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Joo Mi Kim Equity Award Agreements and Offer Letter</w:t>
      </w:r>
    </w:p>
    <w:p>
      <w:pPr>
        <w:spacing w:after="0" w:line="102"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Ms. Kim was granted (i) on July 29, 2020, an award of 37,894 RSUs with a vesting commencement date of July 1, 2020, which was her new hire award for 2020, and (ii) on October 27, 2020, an award of 10,135 RSUs with a vesting commencement date of November 1, 2020, which was her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Ms. Kim’s continued service through each such date.</w:t>
      </w:r>
    </w:p>
    <w:p>
      <w:pPr>
        <w:spacing w:after="0" w:line="176"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If, within 12 months following a “change in control” (as defined in the 2012 Plan) of Qualys, Ms. Kim’s employment is terminated by Qualys other than for “cause” (as defined in the respective RSU agreement), death or disability, or she resigns for “good reason” (as defined in the respective RSU agreement), then, in each case, 100% of the then-unvested portion of each award will accelerate, pursuant to her offer letter agreement dated May 21, 2020 and the respective RSU agreements). If Ms. Kim’s employment is terminated by reason of death or disability, 100% of the then-unvested portion of the award set forth in clause (ii) above will accelerate.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69" w:right="459" w:bottom="1440" w:gutter="0" w:footer="0" w:header="0"/>
        </w:sectPr>
      </w:pPr>
    </w:p>
    <w:bookmarkStart w:id="70" w:name="page71"/>
    <w:bookmarkEnd w:id="70"/>
    <w:p>
      <w:pPr>
        <w:ind w:right="6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pursuant to Ms. Kim’s offer letter agreement, if her employment is terminated by Qualys without cause, she will be entitled to severance equal to 4 months of her base salary, subject to her entering into a separation agreement with and a general release of claims in favor of Qualys.</w:t>
      </w:r>
    </w:p>
    <w:p>
      <w:pPr>
        <w:spacing w:after="0" w:line="169" w:lineRule="exact"/>
        <w:rPr>
          <w:sz w:val="20"/>
          <w:szCs w:val="20"/>
          <w:color w:val="auto"/>
        </w:rPr>
      </w:pPr>
    </w:p>
    <w:p>
      <w:pPr>
        <w:jc w:val="both"/>
        <w:ind w:right="100" w:firstLine="440"/>
        <w:spacing w:after="0" w:line="275" w:lineRule="auto"/>
        <w:rPr>
          <w:sz w:val="20"/>
          <w:szCs w:val="20"/>
          <w:color w:val="auto"/>
        </w:rPr>
      </w:pPr>
      <w:r>
        <w:rPr>
          <w:rFonts w:ascii="Arial" w:cs="Arial" w:eastAsia="Arial" w:hAnsi="Arial"/>
          <w:sz w:val="17"/>
          <w:szCs w:val="17"/>
          <w:color w:val="auto"/>
        </w:rPr>
        <w:t>The severance and vesting acceleration provisions described above (other than the vesting acceleration upon a termination due to death or disability) were superseded by the severance and change of control policy for our non-CEO named executive officers approved by our board of directors in October 2021, which is described below in the section entitled “—</w:t>
      </w:r>
      <w:r>
        <w:rPr>
          <w:rFonts w:ascii="Arial" w:cs="Arial" w:eastAsia="Arial" w:hAnsi="Arial"/>
          <w:sz w:val="17"/>
          <w:szCs w:val="17"/>
          <w:i w:val="1"/>
          <w:iCs w:val="1"/>
          <w:color w:val="auto"/>
        </w:rPr>
        <w:t>Severance and Change of Control Policies.</w:t>
      </w:r>
      <w:r>
        <w:rPr>
          <w:rFonts w:ascii="Arial" w:cs="Arial" w:eastAsia="Arial" w:hAnsi="Arial"/>
          <w:sz w:val="17"/>
          <w:szCs w:val="17"/>
          <w:color w:val="auto"/>
        </w:rPr>
        <w:t>”</w:t>
      </w:r>
    </w:p>
    <w:p>
      <w:pPr>
        <w:spacing w:after="0" w:line="15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In addition, Ms. Kim was granted on October 28, 2021, (i) an award of 33,100 RSUs, with a vesting commencement date of November 1, 2021 and (ii) an award of PRSUs (covering a target number of 14,186 PRSUs) that are scheduled to vest based on achievement of goals related to the revenue growth for a three-year period from January 2022 through December 2024 and Adjusted EBITDA margin targets for the applicable year in the same three-year period. Each award is subject to the vesting acceleration provisions in the severance and change of control policy for our non-CEO named executive officers. If Ms. Kim’s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Allan Peters Equity Award Agreement and Offer Letter</w:t>
      </w:r>
    </w:p>
    <w:p>
      <w:pPr>
        <w:spacing w:after="0" w:line="102" w:lineRule="exact"/>
        <w:rPr>
          <w:sz w:val="20"/>
          <w:szCs w:val="20"/>
          <w:color w:val="auto"/>
        </w:rPr>
      </w:pPr>
    </w:p>
    <w:p>
      <w:pPr>
        <w:ind w:right="140" w:firstLine="440"/>
        <w:spacing w:after="0" w:line="244" w:lineRule="auto"/>
        <w:rPr>
          <w:sz w:val="20"/>
          <w:szCs w:val="20"/>
          <w:color w:val="auto"/>
        </w:rPr>
      </w:pPr>
      <w:r>
        <w:rPr>
          <w:rFonts w:ascii="Arial" w:cs="Arial" w:eastAsia="Arial" w:hAnsi="Arial"/>
          <w:sz w:val="18"/>
          <w:szCs w:val="18"/>
          <w:color w:val="auto"/>
        </w:rPr>
        <w:t>Mr. Peters was granted on August 3, 2021, an award of 29,215 RSUs, with a vesting commencement date of November 1, 2021. If, within 12 months following a “change in control” (as defined in the 2012 Plan) of Qualys, Mr. Peters’ employment is terminated by Qualys other than for “cause” (as defined in the RSU agreement), death or disability, or he resigns for “good reason” (as defined in the RSU agreement), then 50% of the then-unvested portion of the award would accelerate, pursuant to his offer letter agreement dated April 26, 2021 and the RSU agreement).</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In addition, pursuant to Mr. Peters’ offer letter agreement, if his employment is terminated by Qualys without cause in the first year of his employment, he would be entitled to severance equal to 3 months of his base salary, subject to his entering into a separation agreement with and a general release of claims in favor of Qualys.</w:t>
      </w:r>
    </w:p>
    <w:p>
      <w:pPr>
        <w:spacing w:after="0" w:line="169"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severance and vesting acceleration provisions described above were superseded by the severance and change of control policy for our non-CEO named executive officers approved by our board of directors in October 2021, which is described below in the section entitled “—</w:t>
      </w:r>
      <w:r>
        <w:rPr>
          <w:rFonts w:ascii="Arial" w:cs="Arial" w:eastAsia="Arial" w:hAnsi="Arial"/>
          <w:sz w:val="18"/>
          <w:szCs w:val="18"/>
          <w:i w:val="1"/>
          <w:iCs w:val="1"/>
          <w:color w:val="auto"/>
        </w:rPr>
        <w:t>Severance and Change of Control Policies.</w:t>
      </w:r>
      <w:r>
        <w:rPr>
          <w:rFonts w:ascii="Arial" w:cs="Arial" w:eastAsia="Arial" w:hAnsi="Arial"/>
          <w:sz w:val="18"/>
          <w:szCs w:val="18"/>
          <w:color w:val="auto"/>
        </w:rPr>
        <w:t>”</w:t>
      </w:r>
    </w:p>
    <w:p>
      <w:pPr>
        <w:spacing w:after="0" w:line="169" w:lineRule="exact"/>
        <w:rPr>
          <w:sz w:val="20"/>
          <w:szCs w:val="20"/>
          <w:color w:val="auto"/>
        </w:rPr>
      </w:pPr>
    </w:p>
    <w:p>
      <w:pPr>
        <w:ind w:right="140" w:firstLine="440"/>
        <w:spacing w:after="0" w:line="242" w:lineRule="auto"/>
        <w:rPr>
          <w:sz w:val="20"/>
          <w:szCs w:val="20"/>
          <w:color w:val="auto"/>
        </w:rPr>
      </w:pPr>
      <w:r>
        <w:rPr>
          <w:rFonts w:ascii="Arial" w:cs="Arial" w:eastAsia="Arial" w:hAnsi="Arial"/>
          <w:sz w:val="18"/>
          <w:szCs w:val="18"/>
          <w:color w:val="auto"/>
        </w:rPr>
        <w:t>In addition, Mr. Peters was granted on October 28, 2021, an award of PRSUs (covering a target number of 10,914 PRSUs) that are scheduled to vest based on achievement of goals related to the revenue growth for a three-year period from January 2022 through December 2024 and Adjusted EBITDA margin targets for the applicable year in the same three-year period. The award is subject to the vesting acceleration provisions in the severance and change of control policy for our non-CEO named executive officers. If Mr. Peters’s employment is terminated by reason of death or disability, then for any PRSUs as to which the achievement of the relevant performance goals has not yet been certified, 100% of the target number of PRSUs will accelerate.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69" w:right="459" w:bottom="1440" w:gutter="0" w:footer="0" w:header="0"/>
        </w:sectPr>
      </w:pPr>
    </w:p>
    <w:bookmarkStart w:id="71" w:name="page72"/>
    <w:bookmarkEnd w:id="71"/>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Bruce K. Posey Equity Award Agreements</w:t>
      </w:r>
    </w:p>
    <w:p>
      <w:pPr>
        <w:spacing w:after="0" w:line="10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Mr. Posey was granted (i) on October 25, 2018, an award of 23,468 RSUs, with a vesting commencement date of November 1, 2018, which was his annual refresh award for 2019, (ii) on October 24, 2019, an award of 34,864 RSUs with a vesting commencement date of November 1, 2019, which was his annual refresh award for 2020, and (iii) on October 27, 2020, an award of 32,432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Posey’s continued service through each such date.</w:t>
      </w:r>
    </w:p>
    <w:p>
      <w:pPr>
        <w:spacing w:after="0" w:line="185"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If, within 12 months following a “change in control” (as defined in the 2012 Plan) of Qualys, Mr. Posey’s employment is terminated by Qualys other than for “cause” (as defined in the respective RSU agreement), death or disability, or he resigns for “good reason” (as defined in the respective RSU agreement), then, in each case, subject to the execution of a release of claims, 50% of the then-unvested portion of each award set forth above will accelerate. If Mr. Posey’s employment is terminated by reason of death or disability, 100% of the then-unvested portion of each award set forth above will accelerate.</w:t>
      </w:r>
    </w:p>
    <w:p>
      <w:pPr>
        <w:spacing w:after="0" w:line="176" w:lineRule="exact"/>
        <w:rPr>
          <w:sz w:val="20"/>
          <w:szCs w:val="20"/>
          <w:color w:val="auto"/>
        </w:rPr>
      </w:pPr>
    </w:p>
    <w:p>
      <w:pPr>
        <w:ind w:right="360" w:firstLine="440"/>
        <w:spacing w:after="0" w:line="275" w:lineRule="auto"/>
        <w:rPr>
          <w:sz w:val="20"/>
          <w:szCs w:val="20"/>
          <w:color w:val="auto"/>
        </w:rPr>
      </w:pPr>
      <w:r>
        <w:rPr>
          <w:rFonts w:ascii="Arial" w:cs="Arial" w:eastAsia="Arial" w:hAnsi="Arial"/>
          <w:sz w:val="17"/>
          <w:szCs w:val="17"/>
          <w:color w:val="auto"/>
        </w:rPr>
        <w:t>The vesting acceleration provisions described above (other than the vesting acceleration upon a termination due to death or disability) were superseded by the severance and change of control policy for our non-CEO named executive officers approved by our board of directors in October 2021, which is described below in the section entitled “—</w:t>
      </w:r>
      <w:r>
        <w:rPr>
          <w:rFonts w:ascii="Arial" w:cs="Arial" w:eastAsia="Arial" w:hAnsi="Arial"/>
          <w:sz w:val="17"/>
          <w:szCs w:val="17"/>
          <w:i w:val="1"/>
          <w:iCs w:val="1"/>
          <w:color w:val="auto"/>
        </w:rPr>
        <w:t>Severance and Change of Control Policies.</w:t>
      </w:r>
      <w:r>
        <w:rPr>
          <w:rFonts w:ascii="Arial" w:cs="Arial" w:eastAsia="Arial" w:hAnsi="Arial"/>
          <w:sz w:val="17"/>
          <w:szCs w:val="17"/>
          <w:color w:val="auto"/>
        </w:rPr>
        <w:t>”</w:t>
      </w:r>
    </w:p>
    <w:p>
      <w:pPr>
        <w:spacing w:after="0" w:line="15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In addition, Mr. Posey was granted on October 28, 2021, (i) an award of 20,779 RSUs, with a vesting commencement date of November 1, 2021 and (ii) an award of PRSUs (covering a target number of 8,906 PRSUs) that are scheduled to vest based on achievement of goals related to the revenue growth for a three-year period from January 2022 through December 2024 and Adjusted EBITDA margin targets for the applicable year in the same three-year period. Each award is subject to the vesting acceleration provisions in the severance and change of control policy for our non-CEO named executive officers. If Mr. Posey’s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Severance and Change of Control Policies</w:t>
      </w:r>
    </w:p>
    <w:p>
      <w:pPr>
        <w:spacing w:after="0" w:line="102" w:lineRule="exact"/>
        <w:rPr>
          <w:sz w:val="20"/>
          <w:szCs w:val="20"/>
          <w:color w:val="auto"/>
        </w:rPr>
      </w:pPr>
    </w:p>
    <w:p>
      <w:pPr>
        <w:ind w:right="120" w:firstLine="440"/>
        <w:spacing w:after="0" w:line="247" w:lineRule="auto"/>
        <w:rPr>
          <w:sz w:val="20"/>
          <w:szCs w:val="20"/>
          <w:color w:val="auto"/>
        </w:rPr>
      </w:pPr>
      <w:r>
        <w:rPr>
          <w:rFonts w:ascii="Arial" w:cs="Arial" w:eastAsia="Arial" w:hAnsi="Arial"/>
          <w:sz w:val="18"/>
          <w:szCs w:val="18"/>
          <w:color w:val="auto"/>
        </w:rPr>
        <w:t>Our board of directors approved (i) a severance and change of control policy for our CEO in April 2021, and (ii) for our other named executive officers in October 2021. The severance and change of control benefits under these policies supersede any prior agreement or arrangement the named executive officers may have had with us that provided for severance and/or change in control payments or benefits.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these policies, in the event of a qualifying termination of the employment of a named executive officer (other than Mr. Courtot)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that is not in connection with a change in control, the named executive officer will receive the following benefits:</w:t>
      </w:r>
    </w:p>
    <w:p>
      <w:pPr>
        <w:spacing w:after="0" w:line="99" w:lineRule="exact"/>
        <w:rPr>
          <w:sz w:val="20"/>
          <w:szCs w:val="20"/>
          <w:color w:val="auto"/>
        </w:rPr>
      </w:pPr>
    </w:p>
    <w:p>
      <w:pPr>
        <w:ind w:left="960" w:right="160" w:hanging="424"/>
        <w:spacing w:after="0" w:line="244"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severance pay equal to (i) in the case of Mr. Thakar, 12 months of his annual base salary, or (ii) in the case of each of the other named executive officers, (A) 3 months of the named executive officer’s annual base salary, if he or she has been employed by us for less than 1 year, (B) 6 months of the named executive officer’s annual base salary, if he or she has been employed by us for at least 1 year but not more than 5 years, or (C) 9 months of the named executive officer’s annual base salary, if he or she has been employed by us for more than 5 years;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1" w:right="459" w:bottom="1440" w:gutter="0" w:footer="0" w:header="0"/>
        </w:sectPr>
      </w:pPr>
    </w:p>
    <w:bookmarkStart w:id="72" w:name="page73"/>
    <w:bookmarkEnd w:id="72"/>
    <w:p>
      <w:pPr>
        <w:ind w:left="960" w:right="40" w:hanging="424"/>
        <w:spacing w:after="0" w:line="24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w:t>
      </w:r>
    </w:p>
    <w:p>
      <w:pPr>
        <w:spacing w:after="0" w:line="174" w:lineRule="exact"/>
        <w:rPr>
          <w:sz w:val="20"/>
          <w:szCs w:val="20"/>
          <w:color w:val="auto"/>
        </w:rPr>
      </w:pPr>
    </w:p>
    <w:p>
      <w:pPr>
        <w:ind w:right="160" w:firstLine="440"/>
        <w:spacing w:after="0" w:line="271" w:lineRule="auto"/>
        <w:rPr>
          <w:sz w:val="20"/>
          <w:szCs w:val="20"/>
          <w:color w:val="auto"/>
        </w:rPr>
      </w:pPr>
      <w:r>
        <w:rPr>
          <w:rFonts w:ascii="Arial" w:cs="Arial" w:eastAsia="Arial" w:hAnsi="Arial"/>
          <w:sz w:val="18"/>
          <w:szCs w:val="18"/>
          <w:color w:val="auto"/>
        </w:rPr>
        <w:t>In the event of a qualifying termination of the employment of a named executive officer (other than Mr. Courtot) in connection with a change in control, the named executive officer will receive the following benefits:</w:t>
      </w:r>
    </w:p>
    <w:p>
      <w:pPr>
        <w:spacing w:after="0" w:line="59" w:lineRule="exact"/>
        <w:rPr>
          <w:sz w:val="20"/>
          <w:szCs w:val="20"/>
          <w:color w:val="auto"/>
        </w:rPr>
      </w:pPr>
    </w:p>
    <w:p>
      <w:pPr>
        <w:ind w:left="960" w:right="120" w:hanging="424"/>
        <w:spacing w:after="0" w:line="271"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severance pay equal to 100% (or in Mr. Thakar’s case, 150%) of the named executive officer’s annual base salary and target annual bonus;</w:t>
      </w:r>
    </w:p>
    <w:p>
      <w:pPr>
        <w:spacing w:after="0" w:line="59" w:lineRule="exact"/>
        <w:rPr>
          <w:rFonts w:ascii="Arial" w:cs="Arial" w:eastAsia="Arial" w:hAnsi="Arial"/>
          <w:sz w:val="18"/>
          <w:szCs w:val="18"/>
          <w:color w:val="auto"/>
        </w:rPr>
      </w:pPr>
    </w:p>
    <w:p>
      <w:pPr>
        <w:ind w:left="960" w:right="240" w:hanging="424"/>
        <w:spacing w:after="0" w:line="275" w:lineRule="auto"/>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payment or reimbursement of premiums for coverage under COBRA for the named executive officer and his or her eligible dependents, if any, for up to 12 months (or in Mr. Thakar’s case, 18 months) or taxable monthly payments for the equivalent period in the event payment of the COBRA premiums would violate or be subject to an excise tax under applicable law; and</w:t>
      </w:r>
    </w:p>
    <w:p>
      <w:pPr>
        <w:spacing w:after="0" w:line="57" w:lineRule="exact"/>
        <w:rPr>
          <w:rFonts w:ascii="Arial" w:cs="Arial" w:eastAsia="Arial" w:hAnsi="Arial"/>
          <w:sz w:val="17"/>
          <w:szCs w:val="17"/>
          <w:color w:val="auto"/>
        </w:rPr>
      </w:pPr>
    </w:p>
    <w:p>
      <w:pPr>
        <w:ind w:left="960" w:right="200" w:hanging="424"/>
        <w:spacing w:after="0" w:line="253"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accelerated vesting and exercisability as to 100% of any then-unvested equity awards (including any Overperformance Amount), with performance-based equity awards vesting at target levels of performance for future performance periods. The payout will include already achieved cumulative performance over 100% up to the end of the prior performance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104"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2021 (the last business day of 2021) and based on the $137.22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2021, the price per share of our common stock on the date of the triggering event may be higher or lower than $ 137.22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Upon a Qualifying</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jc w:val="right"/>
              <w:ind w:right="560"/>
              <w:spacing w:after="0" w:line="177" w:lineRule="exact"/>
              <w:rPr>
                <w:sz w:val="20"/>
                <w:szCs w:val="20"/>
                <w:color w:val="auto"/>
              </w:rPr>
            </w:pPr>
            <w:r>
              <w:rPr>
                <w:rFonts w:ascii="Arial" w:cs="Arial" w:eastAsia="Arial" w:hAnsi="Arial"/>
                <w:sz w:val="12"/>
                <w:szCs w:val="12"/>
                <w:b w:val="1"/>
                <w:bCs w:val="1"/>
                <w:color w:val="auto"/>
              </w:rPr>
              <w:t>Termination of Employment</w:t>
            </w:r>
            <w:r>
              <w:rPr>
                <w:rFonts w:ascii="Arial" w:cs="Arial" w:eastAsia="Arial" w:hAnsi="Arial"/>
                <w:sz w:val="20"/>
                <w:szCs w:val="20"/>
                <w:b w:val="1"/>
                <w:bCs w:val="1"/>
                <w:color w:val="auto"/>
                <w:vertAlign w:val="superscript"/>
              </w:rPr>
              <w:t>(1)</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Not in</w:t>
            </w:r>
          </w:p>
        </w:tc>
        <w:tc>
          <w:tcPr>
            <w:tcW w:w="1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Connection</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Connection</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 a Change</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With a Change</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Disability or</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Control</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Control</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900" w:type="dxa"/>
            <w:vAlign w:val="bottom"/>
            <w:gridSpan w:val="2"/>
          </w:tcPr>
          <w:p>
            <w:pPr>
              <w:ind w:left="820"/>
              <w:spacing w:after="0" w:line="158" w:lineRule="exact"/>
              <w:rPr>
                <w:sz w:val="20"/>
                <w:szCs w:val="20"/>
                <w:color w:val="auto"/>
              </w:rPr>
            </w:pPr>
            <w:r>
              <w:rPr>
                <w:rFonts w:ascii="Arial" w:cs="Arial" w:eastAsia="Arial" w:hAnsi="Arial"/>
                <w:sz w:val="14"/>
                <w:szCs w:val="14"/>
                <w:b w:val="1"/>
                <w:bCs w:val="1"/>
                <w:color w:val="auto"/>
              </w:rPr>
              <w:t>Type of Benefit</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124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Vesting Acceleration</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29,557,600</w:t>
            </w: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29,557,600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550,000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1,650,000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27,995</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41,992</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577,995</w:t>
            </w:r>
          </w:p>
        </w:tc>
        <w:tc>
          <w:tcPr>
            <w:tcW w:w="28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31,249,592</w:t>
            </w:r>
          </w:p>
        </w:tc>
        <w:tc>
          <w:tcPr>
            <w:tcW w:w="2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29,557,600</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Joo Mi Kim</w:t>
            </w:r>
          </w:p>
        </w:tc>
        <w:tc>
          <w:tcPr>
            <w:tcW w:w="4140" w:type="dxa"/>
            <w:vAlign w:val="bottom"/>
            <w:gridSpan w:val="3"/>
            <w:shd w:val="clear" w:color="auto" w:fill="CCEEFF"/>
          </w:tcPr>
          <w:p>
            <w:pPr>
              <w:ind w:left="1240"/>
              <w:spacing w:after="0" w:line="196" w:lineRule="exact"/>
              <w:rPr>
                <w:sz w:val="20"/>
                <w:szCs w:val="20"/>
                <w:color w:val="auto"/>
              </w:rPr>
            </w:pPr>
            <w:r>
              <w:rPr>
                <w:rFonts w:ascii="Arial" w:cs="Arial" w:eastAsia="Arial" w:hAnsi="Arial"/>
                <w:sz w:val="18"/>
                <w:szCs w:val="18"/>
                <w:color w:val="auto"/>
              </w:rPr>
              <w:t>Vesting Acceleration</w:t>
            </w:r>
          </w:p>
        </w:tc>
        <w:tc>
          <w:tcPr>
            <w:tcW w:w="14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11,106,724</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7,531,731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205,000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615,000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4,485</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8,969</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209,485</w:t>
            </w:r>
          </w:p>
        </w:tc>
        <w:tc>
          <w:tcPr>
            <w:tcW w:w="28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11,730,693</w:t>
            </w:r>
          </w:p>
        </w:tc>
        <w:tc>
          <w:tcPr>
            <w:tcW w:w="2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7,531,731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Allan Peters</w:t>
            </w:r>
          </w:p>
        </w:tc>
        <w:tc>
          <w:tcPr>
            <w:tcW w:w="4140" w:type="dxa"/>
            <w:vAlign w:val="bottom"/>
            <w:gridSpan w:val="3"/>
            <w:shd w:val="clear" w:color="auto" w:fill="CCEEFF"/>
          </w:tcPr>
          <w:p>
            <w:pPr>
              <w:ind w:left="1240"/>
              <w:spacing w:after="0" w:line="196" w:lineRule="exact"/>
              <w:rPr>
                <w:sz w:val="20"/>
                <w:szCs w:val="20"/>
                <w:color w:val="auto"/>
              </w:rPr>
            </w:pPr>
            <w:r>
              <w:rPr>
                <w:rFonts w:ascii="Arial" w:cs="Arial" w:eastAsia="Arial" w:hAnsi="Arial"/>
                <w:sz w:val="18"/>
                <w:szCs w:val="18"/>
                <w:color w:val="auto"/>
              </w:rPr>
              <w:t>Vesting Acceleration</w:t>
            </w:r>
          </w:p>
        </w:tc>
        <w:tc>
          <w:tcPr>
            <w:tcW w:w="14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5,506,501</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1,497,619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81,250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650,000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7,453</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29,814</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88,703</w:t>
            </w:r>
          </w:p>
        </w:tc>
        <w:tc>
          <w:tcPr>
            <w:tcW w:w="28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6,186,315</w:t>
            </w:r>
          </w:p>
        </w:tc>
        <w:tc>
          <w:tcPr>
            <w:tcW w:w="2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1,497,619</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20" w:type="dxa"/>
            <w:vAlign w:val="bottom"/>
            <w:gridSpan w:val="2"/>
          </w:tcPr>
          <w:p>
            <w:pPr>
              <w:ind w:left="268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Upon a Qualifying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0" w:type="dxa"/>
            <w:vAlign w:val="bottom"/>
            <w:gridSpan w:val="4"/>
          </w:tcPr>
          <w:p>
            <w:pPr>
              <w:jc w:val="center"/>
              <w:ind w:right="720"/>
              <w:spacing w:after="0" w:line="177" w:lineRule="exact"/>
              <w:rPr>
                <w:sz w:val="20"/>
                <w:szCs w:val="20"/>
                <w:color w:val="auto"/>
              </w:rPr>
            </w:pPr>
            <w:r>
              <w:rPr>
                <w:rFonts w:ascii="Arial" w:cs="Arial" w:eastAsia="Arial" w:hAnsi="Arial"/>
                <w:sz w:val="12"/>
                <w:szCs w:val="12"/>
                <w:b w:val="1"/>
                <w:bCs w:val="1"/>
                <w:color w:val="auto"/>
              </w:rPr>
              <w:t>Termination of Employment</w:t>
            </w:r>
            <w:r>
              <w:rPr>
                <w:rFonts w:ascii="Arial" w:cs="Arial" w:eastAsia="Arial" w:hAnsi="Arial"/>
                <w:sz w:val="20"/>
                <w:szCs w:val="20"/>
                <w:b w:val="1"/>
                <w:bCs w:val="1"/>
                <w:color w:val="auto"/>
                <w:vertAlign w:val="superscript"/>
              </w:rPr>
              <w:t>(1)</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Borders>
              <w:top w:val="single" w:sz="8" w:color="auto"/>
            </w:tcBorders>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rPr>
              <w:t>Not in</w:t>
            </w:r>
          </w:p>
        </w:tc>
        <w:tc>
          <w:tcPr>
            <w:tcW w:w="10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Connection</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In Connection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With a Change</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With a Change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Disability or</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6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of Control</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of Control</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320" w:type="dxa"/>
            <w:vAlign w:val="bottom"/>
            <w:gridSpan w:val="2"/>
          </w:tcPr>
          <w:p>
            <w:pPr>
              <w:ind w:left="320"/>
              <w:spacing w:after="0" w:line="158" w:lineRule="exact"/>
              <w:rPr>
                <w:sz w:val="20"/>
                <w:szCs w:val="20"/>
                <w:color w:val="auto"/>
              </w:rPr>
            </w:pPr>
            <w:r>
              <w:rPr>
                <w:rFonts w:ascii="Arial" w:cs="Arial" w:eastAsia="Arial" w:hAnsi="Arial"/>
                <w:sz w:val="14"/>
                <w:szCs w:val="14"/>
                <w:b w:val="1"/>
                <w:bCs w:val="1"/>
                <w:color w:val="auto"/>
              </w:rPr>
              <w:t>Type of Benefit</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Bruce K. Posey</w:t>
            </w:r>
          </w:p>
        </w:tc>
        <w:tc>
          <w:tcPr>
            <w:tcW w:w="15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Vesting Acceleration</w:t>
            </w:r>
          </w:p>
        </w:tc>
        <w:tc>
          <w:tcPr>
            <w:tcW w:w="6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10,608,204</w:t>
            </w:r>
          </w:p>
        </w:tc>
        <w:tc>
          <w:tcPr>
            <w:tcW w:w="7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10,608,204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840" w:type="dxa"/>
            <w:vAlign w:val="bottom"/>
            <w:gridSpan w:val="3"/>
          </w:tcPr>
          <w:p>
            <w:pPr>
              <w:ind w:left="1520"/>
              <w:spacing w:after="0" w:line="202" w:lineRule="exact"/>
              <w:rPr>
                <w:sz w:val="20"/>
                <w:szCs w:val="20"/>
                <w:color w:val="auto"/>
              </w:rPr>
            </w:pPr>
            <w:r>
              <w:rPr>
                <w:rFonts w:ascii="Arial" w:cs="Arial" w:eastAsia="Arial" w:hAnsi="Arial"/>
                <w:sz w:val="18"/>
                <w:szCs w:val="18"/>
                <w:color w:val="auto"/>
              </w:rPr>
              <w:t>Cash Severance</w:t>
            </w:r>
          </w:p>
        </w:tc>
        <w:tc>
          <w:tcPr>
            <w:tcW w:w="17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270,000</w:t>
            </w:r>
          </w:p>
        </w:tc>
        <w:tc>
          <w:tcPr>
            <w:tcW w:w="17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540,000</w:t>
            </w:r>
          </w:p>
        </w:tc>
        <w:tc>
          <w:tcPr>
            <w:tcW w:w="10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1520"/>
              <w:spacing w:after="0" w:line="202" w:lineRule="exact"/>
              <w:rPr>
                <w:sz w:val="20"/>
                <w:szCs w:val="20"/>
                <w:color w:val="auto"/>
              </w:rPr>
            </w:pPr>
            <w:r>
              <w:rPr>
                <w:rFonts w:ascii="Arial" w:cs="Arial" w:eastAsia="Arial" w:hAnsi="Arial"/>
                <w:sz w:val="18"/>
                <w:szCs w:val="18"/>
                <w:color w:val="auto"/>
              </w:rPr>
              <w:t>COBRA Payments</w:t>
            </w:r>
          </w:p>
        </w:tc>
        <w:tc>
          <w:tcPr>
            <w:tcW w:w="17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20,996</w:t>
            </w:r>
          </w:p>
        </w:tc>
        <w:tc>
          <w:tcPr>
            <w:tcW w:w="17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27,995</w:t>
            </w:r>
          </w:p>
        </w:tc>
        <w:tc>
          <w:tcPr>
            <w:tcW w:w="10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40" w:type="dxa"/>
            <w:vAlign w:val="bottom"/>
            <w:gridSpan w:val="3"/>
          </w:tcPr>
          <w:p>
            <w:pPr>
              <w:ind w:left="1520"/>
              <w:spacing w:after="0" w:line="191" w:lineRule="exact"/>
              <w:rPr>
                <w:sz w:val="20"/>
                <w:szCs w:val="20"/>
                <w:color w:val="auto"/>
              </w:rPr>
            </w:pPr>
            <w:r>
              <w:rPr>
                <w:rFonts w:ascii="Arial" w:cs="Arial" w:eastAsia="Arial" w:hAnsi="Arial"/>
                <w:sz w:val="18"/>
                <w:szCs w:val="18"/>
                <w:b w:val="1"/>
                <w:bCs w:val="1"/>
                <w:color w:val="auto"/>
              </w:rPr>
              <w:t>Total Termination</w:t>
            </w:r>
          </w:p>
        </w:tc>
        <w:tc>
          <w:tcPr>
            <w:tcW w:w="10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40" w:type="dxa"/>
            <w:vAlign w:val="bottom"/>
            <w:gridSpan w:val="3"/>
          </w:tcPr>
          <w:p>
            <w:pPr>
              <w:ind w:left="1520"/>
              <w:spacing w:after="0"/>
              <w:rPr>
                <w:sz w:val="20"/>
                <w:szCs w:val="20"/>
                <w:color w:val="auto"/>
              </w:rPr>
            </w:pPr>
            <w:r>
              <w:rPr>
                <w:rFonts w:ascii="Arial" w:cs="Arial" w:eastAsia="Arial" w:hAnsi="Arial"/>
                <w:sz w:val="18"/>
                <w:szCs w:val="18"/>
                <w:b w:val="1"/>
                <w:bCs w:val="1"/>
                <w:color w:val="auto"/>
              </w:rPr>
              <w:t>Benefits</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290,996</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11,176,199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10,608,204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24" w:right="80" w:hanging="424"/>
        <w:spacing w:after="0" w:line="252" w:lineRule="auto"/>
        <w:tabs>
          <w:tab w:leader="none" w:pos="4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amounts listed represent the severance and vesting acceleration benefits described above in the section entitled “</w:t>
      </w:r>
      <w:r>
        <w:rPr>
          <w:rFonts w:ascii="Arial" w:cs="Arial" w:eastAsia="Arial" w:hAnsi="Arial"/>
          <w:sz w:val="16"/>
          <w:szCs w:val="16"/>
          <w:i w:val="1"/>
          <w:iCs w:val="1"/>
          <w:color w:val="auto"/>
        </w:rPr>
        <w:t>Potential Payments Upon</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or Change in Control</w:t>
      </w:r>
      <w:r>
        <w:rPr>
          <w:rFonts w:ascii="Arial" w:cs="Arial" w:eastAsia="Arial" w:hAnsi="Arial"/>
          <w:sz w:val="16"/>
          <w:szCs w:val="16"/>
          <w:color w:val="auto"/>
        </w:rPr>
        <w:t>” as of December 31, 2021. For RSUs and PRSUs, the value of such vesting acceleration is computed by</w:t>
      </w:r>
      <w:r>
        <w:rPr>
          <w:rFonts w:ascii="Arial" w:cs="Arial" w:eastAsia="Arial" w:hAnsi="Arial"/>
          <w:sz w:val="16"/>
          <w:szCs w:val="16"/>
          <w:i w:val="1"/>
          <w:iCs w:val="1"/>
          <w:color w:val="auto"/>
        </w:rPr>
        <w:t xml:space="preserve"> </w:t>
      </w:r>
      <w:r>
        <w:rPr>
          <w:rFonts w:ascii="Arial" w:cs="Arial" w:eastAsia="Arial" w:hAnsi="Arial"/>
          <w:sz w:val="16"/>
          <w:szCs w:val="16"/>
          <w:color w:val="auto"/>
        </w:rPr>
        <w:t>multiplying (i) the number of shares of our common stock subject to the RSUs or PRSUs that are being accelerated (at target for PRSUs) by (ii) the closing sales price per share of our common stock on December 31, 2021 ($137.22).</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CEO Pay Ratio</w:t>
      </w:r>
    </w:p>
    <w:p>
      <w:pPr>
        <w:spacing w:after="0" w:line="104" w:lineRule="exact"/>
        <w:rPr>
          <w:sz w:val="20"/>
          <w:szCs w:val="20"/>
          <w:color w:val="auto"/>
        </w:rPr>
      </w:pPr>
    </w:p>
    <w:p>
      <w:pPr>
        <w:ind w:left="4" w:right="500" w:firstLine="440"/>
        <w:spacing w:after="0" w:line="253" w:lineRule="auto"/>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Thakar, our Chief Executive Officer as of the date we selected to identify the median employee, and the median annual total compensation of our employees (other than Mr. Thakar) for fiscal 2021:</w:t>
      </w:r>
    </w:p>
    <w:p>
      <w:pPr>
        <w:spacing w:after="0" w:line="74" w:lineRule="exact"/>
        <w:rPr>
          <w:sz w:val="20"/>
          <w:szCs w:val="20"/>
          <w:color w:val="auto"/>
        </w:rPr>
      </w:pPr>
    </w:p>
    <w:p>
      <w:pPr>
        <w:ind w:left="964" w:right="760" w:hanging="532"/>
        <w:spacing w:after="0" w:line="271"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Thakar) of the Company (including our consolidated subsidiaries) was $38,519.</w:t>
      </w:r>
    </w:p>
    <w:p>
      <w:pPr>
        <w:spacing w:after="0" w:line="59" w:lineRule="exact"/>
        <w:rPr>
          <w:rFonts w:ascii="Arial" w:cs="Arial" w:eastAsia="Arial" w:hAnsi="Arial"/>
          <w:sz w:val="18"/>
          <w:szCs w:val="18"/>
          <w:color w:val="auto"/>
        </w:rPr>
      </w:pPr>
    </w:p>
    <w:p>
      <w:pPr>
        <w:ind w:left="964" w:right="720" w:hanging="532"/>
        <w:spacing w:after="0" w:line="271"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Thakar’s annual total compensation, as reported in the 2021 Summary Compensation Table included in this proxy statement, was $9,396,664.</w:t>
      </w:r>
    </w:p>
    <w:p>
      <w:pPr>
        <w:spacing w:after="0" w:line="59" w:lineRule="exact"/>
        <w:rPr>
          <w:rFonts w:ascii="Arial" w:cs="Arial" w:eastAsia="Arial" w:hAnsi="Arial"/>
          <w:sz w:val="18"/>
          <w:szCs w:val="18"/>
          <w:color w:val="auto"/>
        </w:rPr>
      </w:pPr>
    </w:p>
    <w:p>
      <w:pPr>
        <w:ind w:left="964" w:right="920" w:hanging="532"/>
        <w:spacing w:after="0" w:line="271"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 above, for 2021, the ratio of Mr. Thakar’s annual total compensation to the median of the annual total compensation of all employees other than Mr. Thakar was approximately 244 to 1.</w:t>
      </w:r>
    </w:p>
    <w:p>
      <w:pPr>
        <w:spacing w:after="0" w:line="154" w:lineRule="exact"/>
        <w:rPr>
          <w:sz w:val="20"/>
          <w:szCs w:val="20"/>
          <w:color w:val="auto"/>
        </w:rPr>
      </w:pPr>
    </w:p>
    <w:p>
      <w:pPr>
        <w:ind w:left="4" w:right="40" w:firstLine="440"/>
        <w:spacing w:after="0"/>
        <w:rPr>
          <w:sz w:val="20"/>
          <w:szCs w:val="20"/>
          <w:color w:val="auto"/>
        </w:rPr>
      </w:pPr>
      <w:r>
        <w:rPr>
          <w:rFonts w:ascii="Arial" w:cs="Arial" w:eastAsia="Arial" w:hAnsi="Arial"/>
          <w:sz w:val="18"/>
          <w:szCs w:val="18"/>
          <w:color w:val="auto"/>
        </w:rPr>
        <w:t>This pay ratio is a reasonable estimate calculated in a manner consistent with Item 402(u) of SEC Regulation S-K. We determined the median of the annual total compensation of our employees (other than Mr. Thakar) as of December 31, 2021, at which time we (including our consolidated subsidiaries) had 1,823 full-time, part-time, and temporary employees, 447 of whom are U.S. employees, and 1,376 (or approximately 75% of our total employee population) of whom are located outside of the United States (6 in Australia, 3 in Brazil, 11 in Canada, 1 in Colombia, 1 in the Czech Republic, 35 in France, 12 in Germany, 4 in Hong Kong, 1,217 in India, 9 in Italy, 3 in Japan, 2 in Mexico, 9 in the Netherlands, 2 in the Philippines, 5 in Poland, 3 in Russia, 6 in Singapore, 2 in South Africa, 6 in Spain, 1 Saudi Arabia, 8 in the United Arab Emirates, and 30 in the United Kingdom).</w:t>
      </w:r>
    </w:p>
    <w:p>
      <w:pPr>
        <w:spacing w:after="0" w:line="185" w:lineRule="exact"/>
        <w:rPr>
          <w:sz w:val="20"/>
          <w:szCs w:val="20"/>
          <w:color w:val="auto"/>
        </w:rPr>
      </w:pPr>
    </w:p>
    <w:p>
      <w:pPr>
        <w:ind w:left="4" w:right="60" w:firstLine="440"/>
        <w:spacing w:after="0"/>
        <w:rPr>
          <w:sz w:val="20"/>
          <w:szCs w:val="20"/>
          <w:color w:val="auto"/>
        </w:rPr>
      </w:pPr>
      <w:r>
        <w:rPr>
          <w:rFonts w:ascii="Arial" w:cs="Arial" w:eastAsia="Arial" w:hAnsi="Arial"/>
          <w:sz w:val="18"/>
          <w:szCs w:val="18"/>
          <w:color w:val="auto"/>
        </w:rPr>
        <w:t>In accordance with the permitted methodology for determining the “median employee”, we re-identified the “median employee” for the 2021 fiscal year due to the change in employee population. We excluded all non-U.S. employees (other than those located in France, Germany, India, and the United Kingdom) from our calculations under the de minimis exclusion to the extent the aggregate did not exceed 5% of our total employee population. We then compared the base salaries paid, bonuses earned, and equity awards granted to our 1,741 employees in the U.S., France, Germany, India, and the United Kingdom (which consisted of 447 U.S. employees and 1,294 non-U.S. employees) in 2021 to determine the median employee. Once we identified our median employee, we calculated the employee’s annual total compensation as though the median employee was reported in the 2021 Summary Compensation Table in accordance with the requirements of Item 402(c)(2)(x) of SEC</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4"/>
          </w:cols>
          <w:pgMar w:left="436" w:top="274" w:right="439" w:bottom="1440" w:gutter="0" w:footer="0" w:header="0"/>
        </w:sectPr>
      </w:pPr>
    </w:p>
    <w:bookmarkStart w:id="74" w:name="page75"/>
    <w:bookmarkEnd w:id="7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 S-K, yielding the median annual total compensation disclosed above. With respect to the annual total compensation of Mr. Thakar, we used the amount reported in the “Total” column in the 2021 Summary Compensation Table included in this proxy statement.</w:t>
      </w:r>
    </w:p>
    <w:p>
      <w:pPr>
        <w:spacing w:after="0" w:line="10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300"/>
          </w:cols>
          <w:pgMar w:left="440" w:top="269" w:right="1159" w:bottom="1440" w:gutter="0" w:footer="0" w:header="0"/>
        </w:sectPr>
      </w:pPr>
    </w:p>
    <w:bookmarkStart w:id="75" w:name="page76"/>
    <w:bookmarkEnd w:id="7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11, 2022 for:</w:t>
      </w:r>
    </w:p>
    <w:p>
      <w:pPr>
        <w:spacing w:after="0" w:line="117" w:lineRule="exact"/>
        <w:rPr>
          <w:sz w:val="20"/>
          <w:szCs w:val="20"/>
          <w:color w:val="auto"/>
        </w:rPr>
      </w:pPr>
    </w:p>
    <w:p>
      <w:pPr>
        <w:ind w:left="964" w:hanging="424"/>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212" w:lineRule="exact"/>
        <w:rPr>
          <w:sz w:val="20"/>
          <w:szCs w:val="20"/>
          <w:color w:val="auto"/>
        </w:rPr>
      </w:pPr>
    </w:p>
    <w:p>
      <w:pPr>
        <w:ind w:left="4" w:right="140" w:firstLine="440"/>
        <w:spacing w:after="0" w:line="24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Applicable percentage ownership is based on 38,860,012 shares of common stock outstanding at April 11, 2022.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11, 2022. However, we did not deem such shares outstanding for the purpose of computing the percentage ownership of any other person.</w:t>
      </w:r>
    </w:p>
    <w:p>
      <w:pPr>
        <w:spacing w:after="0" w:line="176" w:lineRule="exact"/>
        <w:rPr>
          <w:sz w:val="20"/>
          <w:szCs w:val="20"/>
          <w:color w:val="auto"/>
        </w:rPr>
      </w:pPr>
    </w:p>
    <w:p>
      <w:pPr>
        <w:ind w:left="4" w:right="440" w:firstLine="440"/>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600" w:type="dxa"/>
            <w:vAlign w:val="bottom"/>
            <w:vMerge w:val="restart"/>
          </w:tcPr>
          <w:p>
            <w:pPr>
              <w:spacing w:after="0"/>
              <w:rPr>
                <w:sz w:val="14"/>
                <w:szCs w:val="14"/>
                <w:color w:val="auto"/>
              </w:rPr>
            </w:pPr>
          </w:p>
        </w:tc>
        <w:tc>
          <w:tcPr>
            <w:tcW w:w="2220" w:type="dxa"/>
            <w:vAlign w:val="bottom"/>
            <w:gridSpan w:val="2"/>
          </w:tcPr>
          <w:p>
            <w:pPr>
              <w:jc w:val="center"/>
              <w:ind w:left="1300"/>
              <w:spacing w:after="0"/>
              <w:rPr>
                <w:sz w:val="20"/>
                <w:szCs w:val="20"/>
                <w:color w:val="auto"/>
              </w:rPr>
            </w:pPr>
            <w:r>
              <w:rPr>
                <w:rFonts w:ascii="Arial" w:cs="Arial" w:eastAsia="Arial" w:hAnsi="Arial"/>
                <w:sz w:val="14"/>
                <w:szCs w:val="14"/>
                <w:b w:val="1"/>
                <w:bCs w:val="1"/>
                <w:color w:val="auto"/>
              </w:rPr>
              <w:t>Beneficially</w:t>
            </w:r>
          </w:p>
        </w:tc>
        <w:tc>
          <w:tcPr>
            <w:tcW w:w="166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Owned</w:t>
            </w:r>
          </w:p>
        </w:tc>
        <w:tc>
          <w:tcPr>
            <w:tcW w:w="640" w:type="dxa"/>
            <w:vAlign w:val="bottom"/>
          </w:tcPr>
          <w:p>
            <w:pPr>
              <w:spacing w:after="0"/>
              <w:rPr>
                <w:sz w:val="15"/>
                <w:szCs w:val="15"/>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63"/>
        </w:trPr>
        <w:tc>
          <w:tcPr>
            <w:tcW w:w="538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Named Executive Officers:</w:t>
            </w:r>
          </w:p>
        </w:tc>
        <w:tc>
          <w:tcPr>
            <w:tcW w:w="1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Sumedh S. Thakar </w:t>
            </w:r>
            <w:r>
              <w:rPr>
                <w:rFonts w:ascii="Arial" w:cs="Arial" w:eastAsia="Arial" w:hAnsi="Arial"/>
                <w:sz w:val="21"/>
                <w:szCs w:val="21"/>
                <w:color w:val="auto"/>
                <w:vertAlign w:val="superscript"/>
              </w:rPr>
              <w:t>(1)</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363,564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Philippe F. Courtot</w:t>
            </w:r>
          </w:p>
        </w:tc>
        <w:tc>
          <w:tcPr>
            <w:tcW w:w="1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Joo Mi Kim </w:t>
            </w:r>
            <w:r>
              <w:rPr>
                <w:rFonts w:ascii="Arial" w:cs="Arial" w:eastAsia="Arial" w:hAnsi="Arial"/>
                <w:sz w:val="21"/>
                <w:szCs w:val="21"/>
                <w:color w:val="auto"/>
                <w:vertAlign w:val="superscript"/>
              </w:rPr>
              <w:t>(2)</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17,067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Allan Peters </w:t>
            </w:r>
            <w:r>
              <w:rPr>
                <w:rFonts w:ascii="Arial" w:cs="Arial" w:eastAsia="Arial" w:hAnsi="Arial"/>
                <w:sz w:val="21"/>
                <w:szCs w:val="21"/>
                <w:color w:val="auto"/>
                <w:vertAlign w:val="superscript"/>
              </w:rPr>
              <w:t>(3)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6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Bruce K. Posey </w:t>
            </w:r>
            <w:r>
              <w:rPr>
                <w:rFonts w:ascii="Arial" w:cs="Arial" w:eastAsia="Arial" w:hAnsi="Arial"/>
                <w:sz w:val="21"/>
                <w:szCs w:val="21"/>
                <w:color w:val="auto"/>
                <w:vertAlign w:val="superscript"/>
              </w:rPr>
              <w:t>(4)</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61,970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Sandra E. Bergeron </w:t>
            </w:r>
            <w:r>
              <w:rPr>
                <w:rFonts w:ascii="Arial" w:cs="Arial" w:eastAsia="Arial" w:hAnsi="Arial"/>
                <w:sz w:val="21"/>
                <w:szCs w:val="21"/>
                <w:color w:val="auto"/>
                <w:vertAlign w:val="superscript"/>
              </w:rPr>
              <w:t>(5)</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26,348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William Berutti</w:t>
            </w:r>
          </w:p>
        </w:tc>
        <w:tc>
          <w:tcPr>
            <w:tcW w:w="1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Jeffrey P. Hank </w:t>
            </w:r>
            <w:r>
              <w:rPr>
                <w:rFonts w:ascii="Arial" w:cs="Arial" w:eastAsia="Arial" w:hAnsi="Arial"/>
                <w:sz w:val="21"/>
                <w:szCs w:val="21"/>
                <w:color w:val="auto"/>
                <w:vertAlign w:val="superscript"/>
              </w:rPr>
              <w:t>(6)</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23,504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Gen. Peter Pace </w:t>
            </w:r>
            <w:r>
              <w:rPr>
                <w:rFonts w:ascii="Arial" w:cs="Arial" w:eastAsia="Arial" w:hAnsi="Arial"/>
                <w:sz w:val="21"/>
                <w:szCs w:val="21"/>
                <w:color w:val="auto"/>
                <w:vertAlign w:val="superscript"/>
              </w:rPr>
              <w:t>(7)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13,862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Wendy M. Pfeiffer </w:t>
            </w:r>
            <w:r>
              <w:rPr>
                <w:rFonts w:ascii="Arial" w:cs="Arial" w:eastAsia="Arial" w:hAnsi="Arial"/>
                <w:sz w:val="21"/>
                <w:szCs w:val="21"/>
                <w:color w:val="auto"/>
                <w:vertAlign w:val="superscript"/>
              </w:rPr>
              <w:t>(8)</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7,059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Kristi M. Rogers </w:t>
            </w:r>
            <w:r>
              <w:rPr>
                <w:rFonts w:ascii="Arial" w:cs="Arial" w:eastAsia="Arial" w:hAnsi="Arial"/>
                <w:sz w:val="21"/>
                <w:szCs w:val="21"/>
                <w:color w:val="auto"/>
                <w:vertAlign w:val="superscript"/>
              </w:rPr>
              <w:t>(9)</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John Zangardi </w:t>
            </w:r>
            <w:r>
              <w:rPr>
                <w:rFonts w:ascii="Arial" w:cs="Arial" w:eastAsia="Arial" w:hAnsi="Arial"/>
                <w:sz w:val="21"/>
                <w:szCs w:val="21"/>
                <w:color w:val="auto"/>
                <w:vertAlign w:val="superscript"/>
              </w:rPr>
              <w:t>(10)</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3,293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380" w:type="dxa"/>
            <w:vAlign w:val="bottom"/>
            <w:gridSpan w:val="2"/>
            <w:shd w:val="clear" w:color="auto" w:fill="CCEEFF"/>
          </w:tcPr>
          <w:p>
            <w:pPr>
              <w:ind w:left="160"/>
              <w:spacing w:after="0" w:line="174" w:lineRule="exact"/>
              <w:rPr>
                <w:sz w:val="20"/>
                <w:szCs w:val="20"/>
                <w:color w:val="auto"/>
              </w:rPr>
            </w:pPr>
            <w:r>
              <w:rPr>
                <w:rFonts w:ascii="Arial" w:cs="Arial" w:eastAsia="Arial" w:hAnsi="Arial"/>
                <w:sz w:val="16"/>
                <w:szCs w:val="16"/>
                <w:color w:val="auto"/>
              </w:rPr>
              <w:t>All current directors and executive officers as a group</w:t>
            </w:r>
          </w:p>
        </w:tc>
        <w:tc>
          <w:tcPr>
            <w:tcW w:w="1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CCEEFF"/>
          </w:tcPr>
          <w:p>
            <w:pPr>
              <w:ind w:left="320"/>
              <w:spacing w:after="0" w:line="204" w:lineRule="exact"/>
              <w:rPr>
                <w:sz w:val="20"/>
                <w:szCs w:val="20"/>
                <w:color w:val="auto"/>
              </w:rPr>
            </w:pPr>
            <w:r>
              <w:rPr>
                <w:rFonts w:ascii="Arial" w:cs="Arial" w:eastAsia="Arial" w:hAnsi="Arial"/>
                <w:sz w:val="14"/>
                <w:szCs w:val="14"/>
                <w:color w:val="auto"/>
              </w:rPr>
              <w:t xml:space="preserve">(11 persons) </w:t>
            </w:r>
            <w:r>
              <w:rPr>
                <w:rFonts w:ascii="Arial" w:cs="Arial" w:eastAsia="Arial" w:hAnsi="Arial"/>
                <w:sz w:val="23"/>
                <w:szCs w:val="23"/>
                <w:color w:val="auto"/>
                <w:vertAlign w:val="superscript"/>
              </w:rPr>
              <w:t>(11)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550,819</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5% Stockholders:</w:t>
            </w: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BlackRock, Inc. </w:t>
            </w:r>
            <w:r>
              <w:rPr>
                <w:rFonts w:ascii="Arial" w:cs="Arial" w:eastAsia="Arial" w:hAnsi="Arial"/>
                <w:sz w:val="21"/>
                <w:szCs w:val="21"/>
                <w:color w:val="auto"/>
                <w:vertAlign w:val="superscript"/>
              </w:rPr>
              <w:t>(12)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3,988,849</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 xml:space="preserve">Philippe Courtot Family Trust </w:t>
            </w:r>
            <w:r>
              <w:rPr>
                <w:rFonts w:ascii="Arial" w:cs="Arial" w:eastAsia="Arial" w:hAnsi="Arial"/>
                <w:sz w:val="21"/>
                <w:szCs w:val="21"/>
                <w:color w:val="auto"/>
                <w:vertAlign w:val="superscript"/>
              </w:rPr>
              <w:t>(13)</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3,539,054</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The Vanguard Group </w:t>
            </w:r>
            <w:r>
              <w:rPr>
                <w:rFonts w:ascii="Arial" w:cs="Arial" w:eastAsia="Arial" w:hAnsi="Arial"/>
                <w:sz w:val="21"/>
                <w:szCs w:val="21"/>
                <w:color w:val="auto"/>
                <w:vertAlign w:val="superscript"/>
              </w:rPr>
              <w:t>(14)</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3,379,253</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68"/>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 xml:space="preserve">Neuberger Berman Group LLC </w:t>
            </w:r>
            <w:r>
              <w:rPr>
                <w:rFonts w:ascii="Arial" w:cs="Arial" w:eastAsia="Arial" w:hAnsi="Arial"/>
                <w:sz w:val="27"/>
                <w:szCs w:val="27"/>
                <w:color w:val="auto"/>
                <w:vertAlign w:val="superscript"/>
              </w:rPr>
              <w:t>(15)</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2,245,048</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tabs>
          <w:tab w:leader="none" w:pos="4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123" w:lineRule="exact"/>
        <w:rPr>
          <w:sz w:val="20"/>
          <w:szCs w:val="20"/>
          <w:color w:val="auto"/>
        </w:rPr>
      </w:pPr>
    </w:p>
    <w:p>
      <w:pPr>
        <w:ind w:left="424" w:right="300" w:hanging="424"/>
        <w:spacing w:after="0" w:line="286" w:lineRule="auto"/>
        <w:tabs>
          <w:tab w:leader="none" w:pos="4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(i) 31,994 shares of common stock held by Mr. Thakar, (ii) 17,459 shares of common stock issuable upon vesting of RSUs within 60 days of April 11, 2022, and (iii) 314,111 shares of common stock subject to stock options exercisable within 60 days of April 11, 2022.</w:t>
      </w:r>
    </w:p>
    <w:p>
      <w:pPr>
        <w:spacing w:after="0" w:line="8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69" w:right="479" w:bottom="1440" w:gutter="0" w:footer="0" w:header="0"/>
        </w:sectPr>
      </w:pPr>
    </w:p>
    <w:bookmarkStart w:id="76" w:name="page77"/>
    <w:bookmarkEnd w:id="76"/>
    <w:p>
      <w:pPr>
        <w:ind w:left="424" w:right="32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Consists of (i) 14,365 shares of common stock held by Ms. Kim and (ii) 2,702 shares of common stock issuable upon vesting of RSUs within 60 days of April 11, 2022.</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7,304 shares of common stock issuable upon vesting of RSUs within 60 days of April 11, 2022.</w:t>
      </w:r>
    </w:p>
    <w:p>
      <w:pPr>
        <w:spacing w:after="0" w:line="126" w:lineRule="exact"/>
        <w:rPr>
          <w:rFonts w:ascii="Arial" w:cs="Arial" w:eastAsia="Arial" w:hAnsi="Arial"/>
          <w:sz w:val="16"/>
          <w:szCs w:val="16"/>
          <w:color w:val="auto"/>
        </w:rPr>
      </w:pPr>
    </w:p>
    <w:p>
      <w:pPr>
        <w:ind w:left="424" w:right="8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10,454 shares of common stock held by Mr. Posey, (ii) 6,972 shares of common stock issuable upon vesting of RSUs within 60 days of April 11, 2022, and (iii) 44,544 shares of common stock subject to stock options exercisable within 60 days of April 11, 2022.</w:t>
      </w:r>
    </w:p>
    <w:p>
      <w:pPr>
        <w:spacing w:after="0" w:line="61" w:lineRule="exact"/>
        <w:rPr>
          <w:rFonts w:ascii="Arial" w:cs="Arial" w:eastAsia="Arial" w:hAnsi="Arial"/>
          <w:sz w:val="16"/>
          <w:szCs w:val="16"/>
          <w:color w:val="auto"/>
        </w:rPr>
      </w:pPr>
    </w:p>
    <w:p>
      <w:pPr>
        <w:ind w:left="424" w:right="16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24,346 shares of common stock held by Ms. Bergeron and (ii) 2,002 shares of common stock issuable upon vesting of RSUs within 60 days of April 11, 2022.</w:t>
      </w:r>
    </w:p>
    <w:p>
      <w:pPr>
        <w:spacing w:after="0" w:line="61" w:lineRule="exact"/>
        <w:rPr>
          <w:rFonts w:ascii="Arial" w:cs="Arial" w:eastAsia="Arial" w:hAnsi="Arial"/>
          <w:sz w:val="16"/>
          <w:szCs w:val="16"/>
          <w:color w:val="auto"/>
        </w:rPr>
      </w:pPr>
    </w:p>
    <w:p>
      <w:pPr>
        <w:ind w:left="424" w:right="4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9,502 shares of common stock held by Mr. Hank, (ii) 2,002 shares of common stock issuable upon vesting of RSUs within 60 days of April 11, 2022, and (iii) 12,000 shares of common stock subject to stock options exercisable within 60 days of April 11, 2022.</w:t>
      </w:r>
    </w:p>
    <w:p>
      <w:pPr>
        <w:spacing w:after="0" w:line="61"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11,860 shares of common stock held by Gen. Pace and (ii) 2,002 shares of common stock issuable upon vesting of RSUs within 60 days of April 11, 2022.</w:t>
      </w:r>
    </w:p>
    <w:p>
      <w:pPr>
        <w:spacing w:after="0" w:line="61" w:lineRule="exact"/>
        <w:rPr>
          <w:rFonts w:ascii="Arial" w:cs="Arial" w:eastAsia="Arial" w:hAnsi="Arial"/>
          <w:sz w:val="16"/>
          <w:szCs w:val="16"/>
          <w:color w:val="auto"/>
        </w:rPr>
      </w:pPr>
    </w:p>
    <w:p>
      <w:pPr>
        <w:ind w:left="424" w:right="18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5,057 shares of common stock held by Ms. Pfeiffer and (ii) 2,002 shares of common stock issuable upon vesting of RSUs within 60 days of April 11, 2022.</w:t>
      </w:r>
    </w:p>
    <w:p>
      <w:pPr>
        <w:spacing w:after="0" w:line="61" w:lineRule="exact"/>
        <w:rPr>
          <w:rFonts w:ascii="Arial" w:cs="Arial" w:eastAsia="Arial" w:hAnsi="Arial"/>
          <w:sz w:val="16"/>
          <w:szCs w:val="16"/>
          <w:color w:val="auto"/>
        </w:rPr>
      </w:pPr>
    </w:p>
    <w:p>
      <w:pPr>
        <w:ind w:left="424" w:right="4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1,846 shares of common stock held by Ms. Rogers, (ii) 2,002 shares of common stock issuable upon vesting of RSUs within 60 days of April 11, 2022, and (iii) 23,000 shares of common stock subject to stock options exercisable within 60 days of April 11, 2022.</w:t>
      </w:r>
    </w:p>
    <w:p>
      <w:pPr>
        <w:spacing w:after="0" w:line="61"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 1,291 shares of common stock held by Dr. Zangardi and (ii) 2,002 shares of common stock issuable upon vesting of RSUs within 60 days of April 11, 2022.</w:t>
      </w:r>
    </w:p>
    <w:p>
      <w:pPr>
        <w:spacing w:after="0" w:line="61" w:lineRule="exact"/>
        <w:rPr>
          <w:rFonts w:ascii="Arial" w:cs="Arial" w:eastAsia="Arial" w:hAnsi="Arial"/>
          <w:sz w:val="16"/>
          <w:szCs w:val="16"/>
          <w:color w:val="auto"/>
        </w:rPr>
      </w:pPr>
    </w:p>
    <w:p>
      <w:pPr>
        <w:ind w:left="424" w:right="300" w:hanging="424"/>
        <w:spacing w:after="0" w:line="28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(i) 46,449 shares of common stock issuable upon vesting of RSUs within 60 days of April 11, 2022, and (ii) 393,655 shares of common stock subject to stock options exercisable within 60 days of April 11, 2022.</w:t>
      </w:r>
    </w:p>
    <w:p>
      <w:pPr>
        <w:spacing w:after="0" w:line="61" w:lineRule="exact"/>
        <w:rPr>
          <w:rFonts w:ascii="Arial" w:cs="Arial" w:eastAsia="Arial" w:hAnsi="Arial"/>
          <w:sz w:val="16"/>
          <w:szCs w:val="16"/>
          <w:color w:val="auto"/>
        </w:rPr>
      </w:pPr>
    </w:p>
    <w:p>
      <w:pPr>
        <w:ind w:left="424" w:right="360" w:hanging="424"/>
        <w:spacing w:after="0" w:line="26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According to the information reported by BlackRock, Inc. (“BlackRock”) on a Schedule 13G/A filed on January 28, 2022, BlackRock beneficially owns an aggregate of 3,988,849 shares of common stock, which consists of (i) 3,944,053 shares as to which it has sole voting power and (ii) 3,988,849 shares as to which it has sole dispositive power. The principal address of BlackRock is 55 East 52nd Street, New York, NY 10055.</w:t>
      </w:r>
    </w:p>
    <w:p>
      <w:pPr>
        <w:spacing w:after="0" w:line="76" w:lineRule="exact"/>
        <w:rPr>
          <w:rFonts w:ascii="Arial" w:cs="Arial" w:eastAsia="Arial" w:hAnsi="Arial"/>
          <w:sz w:val="16"/>
          <w:szCs w:val="16"/>
          <w:color w:val="auto"/>
        </w:rPr>
      </w:pPr>
    </w:p>
    <w:p>
      <w:pPr>
        <w:ind w:left="424" w:right="260" w:hanging="424"/>
        <w:spacing w:after="0" w:line="266"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According to the information reported by the Philippe Courtot Family Trust (“PCFT”) on a Schedule 13G filed on February 8, 2022, PCFT beneficially owns an aggregate of 3,539,054 shares of common stock and has sole voting and dispositive power over such shares. The principal address of PCFT is 1409 Montgomery St., San Francisco, CA 94133.</w:t>
      </w:r>
    </w:p>
    <w:p>
      <w:pPr>
        <w:spacing w:after="0" w:line="76" w:lineRule="exact"/>
        <w:rPr>
          <w:rFonts w:ascii="Arial" w:cs="Arial" w:eastAsia="Arial" w:hAnsi="Arial"/>
          <w:sz w:val="16"/>
          <w:szCs w:val="16"/>
          <w:color w:val="auto"/>
        </w:rPr>
      </w:pPr>
    </w:p>
    <w:p>
      <w:pPr>
        <w:ind w:left="424" w:right="40" w:hanging="424"/>
        <w:spacing w:after="0" w:line="259"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According to the information reported by The Vanguard Group (“Vanguard”) on a Schedule 13G/A filed on February 10, 2022, Vanguard beneficially owns an aggregate of 3,379,253 shares of common stock, which consists of (i) 65,281 shares as to which it has shared voting power, (ii) 3,285,083 shares as to which it has sole dispositive power, and (iii) 94,170 shares as to which it has shared dispositive power. The principal address of Vanguard is 100 Vanguard Blvd., Malvern, PA 19355.</w:t>
      </w:r>
    </w:p>
    <w:p>
      <w:pPr>
        <w:spacing w:after="0" w:line="83"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According to the information reported by Neuberger Berman Group LLC (“Neuberger”) on a Schedule 13G/A filed on February 14, 2022, Neuberger beneficially owns an aggregate of 2,245,048 shares of common stock, which consists of (i) 2,222,481 shares as to which it has shared voting power and (ii) 2,245,048 shares as to which it has shared dispositive power. The principal address of Neuberger is 1290 Avenue of the Americas, New York, NY 10104.</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PERSON TRANSACTIONS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We describe below transactions and series of similar transactions, since January 1, 2021, to which we were a party or will be a party, in which:</w:t>
      </w:r>
    </w:p>
    <w:p>
      <w:pPr>
        <w:spacing w:after="0" w:line="59" w:lineRule="exact"/>
        <w:rPr>
          <w:sz w:val="20"/>
          <w:szCs w:val="20"/>
          <w:color w:val="auto"/>
        </w:rPr>
      </w:pPr>
    </w:p>
    <w:p>
      <w:pPr>
        <w:ind w:left="960" w:hanging="424"/>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4" w:lineRule="exact"/>
        <w:rPr>
          <w:sz w:val="20"/>
          <w:szCs w:val="20"/>
          <w:color w:val="auto"/>
        </w:rPr>
      </w:pPr>
    </w:p>
    <w:p>
      <w:pPr>
        <w:ind w:right="820" w:firstLine="440"/>
        <w:spacing w:after="0" w:line="271"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104" w:lineRule="exact"/>
        <w:rPr>
          <w:sz w:val="20"/>
          <w:szCs w:val="20"/>
          <w:color w:val="auto"/>
        </w:rPr>
      </w:pPr>
    </w:p>
    <w:p>
      <w:pPr>
        <w:ind w:right="60" w:firstLine="440"/>
        <w:spacing w:after="0" w:line="242" w:lineRule="auto"/>
        <w:rPr>
          <w:sz w:val="20"/>
          <w:szCs w:val="20"/>
          <w:color w:val="auto"/>
        </w:rPr>
      </w:pPr>
      <w:r>
        <w:rPr>
          <w:rFonts w:ascii="Arial" w:cs="Arial" w:eastAsia="Arial" w:hAnsi="Arial"/>
          <w:sz w:val="18"/>
          <w:szCs w:val="18"/>
          <w:color w:val="auto"/>
        </w:rPr>
        <w:t>In 2021, Nicolas Courtot, son of Philippe Courtot, our former Chief Executive Officer, was employed by us as VP, Brand &amp; Creative until August 30, 2021. During 2021, Nicolas Courtot earned total compensation of $269,620, consisting of base salary, bonus and equity compensation. In addition, Nicolas Courtot participated in our employee benefit plans and arrangements which are generally made available to other employees at his level, including employee equity incentive and benefit plans, including health, vacation, Section 401(k) retirement savings plans and insurance plans. The compensation of Nicolas Courtot was established in accordance with our employment and compensation practices applicable to employees with equivalent qualifications, experience and responsibilities.</w:t>
      </w:r>
    </w:p>
    <w:p>
      <w:pPr>
        <w:spacing w:after="0" w:line="179" w:lineRule="exact"/>
        <w:rPr>
          <w:sz w:val="20"/>
          <w:szCs w:val="20"/>
          <w:color w:val="auto"/>
        </w:rPr>
      </w:pPr>
    </w:p>
    <w:p>
      <w:pPr>
        <w:ind w:right="660" w:firstLine="440"/>
        <w:spacing w:after="0" w:line="271"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our Audit and Risk Committee in accordance with our related party transaction policy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4" w:lineRule="exact"/>
        <w:rPr>
          <w:sz w:val="20"/>
          <w:szCs w:val="20"/>
          <w:color w:val="auto"/>
        </w:rPr>
      </w:pPr>
    </w:p>
    <w:p>
      <w:pPr>
        <w:ind w:right="600" w:firstLine="440"/>
        <w:spacing w:after="0" w:line="271" w:lineRule="auto"/>
        <w:rPr>
          <w:sz w:val="20"/>
          <w:szCs w:val="20"/>
          <w:color w:val="auto"/>
        </w:rPr>
      </w:pPr>
      <w:r>
        <w:rPr>
          <w:rFonts w:ascii="Arial" w:cs="Arial" w:eastAsia="Arial" w:hAnsi="Arial"/>
          <w:sz w:val="18"/>
          <w:szCs w:val="18"/>
          <w:color w:val="auto"/>
        </w:rPr>
        <w:t>Our Audit and Risk Committee has the primary responsibility for reviewing and approving or ratifying transactions with related parties.</w:t>
      </w:r>
    </w:p>
    <w:p>
      <w:pPr>
        <w:spacing w:after="0" w:line="15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any person or entity known to be the beneficial owner of more than 5% of any class of our voting securities, any immediate family member of any of the foregoing persons, and any firm, corporation, or other entity in which any of the foregoing persons is employed, is a general partner or principal or in a similar position, or in which such person has a 5% or greater beneficial ownership interest (each, a “Related Party”), are/is not permitted to enter into a “Related Party Transaction” with us without the consent of our Audit and Risk Committee. For the purposes of this policy, a “Related Party Transaction” is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material interest (including any transactions requiring disclosure under Item 404 of Regulation S-K promulgated under the Exchange Act), other than transactions available to all U.S. employees of the Company.</w:t>
      </w:r>
    </w:p>
    <w:p>
      <w:pPr>
        <w:spacing w:after="0" w:line="180" w:lineRule="exact"/>
        <w:rPr>
          <w:sz w:val="20"/>
          <w:szCs w:val="20"/>
          <w:color w:val="auto"/>
        </w:rPr>
      </w:pPr>
    </w:p>
    <w:p>
      <w:pPr>
        <w:ind w:right="160" w:firstLine="440"/>
        <w:spacing w:after="0" w:line="247" w:lineRule="auto"/>
        <w:rPr>
          <w:sz w:val="20"/>
          <w:szCs w:val="20"/>
          <w:color w:val="auto"/>
        </w:rPr>
      </w:pPr>
      <w:r>
        <w:rPr>
          <w:rFonts w:ascii="Arial" w:cs="Arial" w:eastAsia="Arial" w:hAnsi="Arial"/>
          <w:sz w:val="18"/>
          <w:szCs w:val="18"/>
          <w:color w:val="auto"/>
        </w:rPr>
        <w:t>In determining whether to approve a Related Party Transaction, our Audit and Risk Committee is to consider the relevant facts and circumstances available and deemed relevant to the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69" w:right="47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on our review of forms we received, or written representations from reporting persons stating that they were not required to file</w:t>
      </w:r>
    </w:p>
    <w:p>
      <w:pPr>
        <w:spacing w:after="0" w:line="234" w:lineRule="auto"/>
        <w:rPr>
          <w:sz w:val="20"/>
          <w:szCs w:val="20"/>
          <w:color w:val="auto"/>
        </w:rPr>
      </w:pPr>
      <w:r>
        <w:rPr>
          <w:rFonts w:ascii="Arial" w:cs="Arial" w:eastAsia="Arial" w:hAnsi="Arial"/>
          <w:sz w:val="18"/>
          <w:szCs w:val="18"/>
          <w:color w:val="auto"/>
        </w:rPr>
        <w:t>these forms, we believe that during 2021, all Section 16(a) filing requirements were satisfied on a timely basis, except (i) on July 7, 2021,</w:t>
      </w:r>
    </w:p>
    <w:p>
      <w:pPr>
        <w:spacing w:after="0" w:line="235" w:lineRule="auto"/>
        <w:rPr>
          <w:sz w:val="20"/>
          <w:szCs w:val="20"/>
          <w:color w:val="auto"/>
        </w:rPr>
      </w:pPr>
      <w:r>
        <w:rPr>
          <w:rFonts w:ascii="Arial" w:cs="Arial" w:eastAsia="Arial" w:hAnsi="Arial"/>
          <w:sz w:val="18"/>
          <w:szCs w:val="18"/>
          <w:color w:val="auto"/>
        </w:rPr>
        <w:t>each of Joo Mi Kim and Saikat Paul filed a late Form to report the withholding of shares to cover taxes in connection with the vesting of</w:t>
      </w:r>
    </w:p>
    <w:p>
      <w:pPr>
        <w:spacing w:after="0" w:line="235" w:lineRule="auto"/>
        <w:rPr>
          <w:sz w:val="20"/>
          <w:szCs w:val="20"/>
          <w:color w:val="auto"/>
        </w:rPr>
      </w:pPr>
      <w:r>
        <w:rPr>
          <w:rFonts w:ascii="Arial" w:cs="Arial" w:eastAsia="Arial" w:hAnsi="Arial"/>
          <w:sz w:val="18"/>
          <w:szCs w:val="18"/>
          <w:color w:val="auto"/>
        </w:rPr>
        <w:t>RSUs that occurred on July 1, 2021, (ii) on August 20, 2021, the Philippe Courtot Family Trust filed a late Form 3, and (iii) on</w:t>
      </w:r>
    </w:p>
    <w:p>
      <w:pPr>
        <w:spacing w:after="0"/>
        <w:rPr>
          <w:sz w:val="20"/>
          <w:szCs w:val="20"/>
          <w:color w:val="auto"/>
        </w:rPr>
      </w:pPr>
      <w:r>
        <w:rPr>
          <w:rFonts w:ascii="Arial" w:cs="Arial" w:eastAsia="Arial" w:hAnsi="Arial"/>
          <w:sz w:val="18"/>
          <w:szCs w:val="18"/>
          <w:color w:val="auto"/>
        </w:rPr>
        <w:t>September 29, 2021, the Philippe Courtot Family Trust filed a late Form 4 to report one transaction that occurred on September 24, 2021.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Report and SEC Filings</w:t>
      </w:r>
    </w:p>
    <w:p>
      <w:pPr>
        <w:spacing w:after="0" w:line="104" w:lineRule="exact"/>
        <w:rPr>
          <w:sz w:val="20"/>
          <w:szCs w:val="20"/>
          <w:color w:val="auto"/>
        </w:rPr>
      </w:pPr>
    </w:p>
    <w:p>
      <w:pPr>
        <w:ind w:right="40" w:firstLine="440"/>
        <w:spacing w:after="0" w:line="244" w:lineRule="auto"/>
        <w:rPr>
          <w:sz w:val="20"/>
          <w:szCs w:val="20"/>
          <w:color w:val="auto"/>
        </w:rPr>
      </w:pPr>
      <w:r>
        <w:rPr>
          <w:rFonts w:ascii="Arial" w:cs="Arial" w:eastAsia="Arial" w:hAnsi="Arial"/>
          <w:sz w:val="18"/>
          <w:szCs w:val="18"/>
          <w:color w:val="auto"/>
        </w:rPr>
        <w:t>Our financial statements for the fiscal year ended December 31, 2021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176" w:lineRule="exact"/>
        <w:rPr>
          <w:sz w:val="20"/>
          <w:szCs w:val="20"/>
          <w:color w:val="auto"/>
        </w:rPr>
      </w:pPr>
    </w:p>
    <w:p>
      <w:pPr>
        <w:ind w:left="5000"/>
        <w:spacing w:after="0"/>
        <w:tabs>
          <w:tab w:leader="none" w:pos="544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500" w:firstLine="440"/>
        <w:spacing w:after="0" w:line="253" w:lineRule="auto"/>
        <w:rPr>
          <w:sz w:val="20"/>
          <w:szCs w:val="20"/>
          <w:color w:val="auto"/>
        </w:rPr>
      </w:pPr>
      <w:r>
        <w:rPr>
          <w:rFonts w:ascii="Arial" w:cs="Arial" w:eastAsia="Arial" w:hAnsi="Arial"/>
          <w:sz w:val="18"/>
          <w:szCs w:val="18"/>
          <w:color w:val="auto"/>
        </w:rPr>
        <w:t>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69" w:lineRule="exact"/>
        <w:rPr>
          <w:sz w:val="20"/>
          <w:szCs w:val="20"/>
          <w:color w:val="auto"/>
        </w:rPr>
      </w:pPr>
    </w:p>
    <w:p>
      <w:pPr>
        <w:ind w:right="300" w:firstLine="440"/>
        <w:spacing w:after="0" w:line="253"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6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BOARD OF DIRECTORS</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Foster City, California</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21, 2022</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69" w:right="4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amended restated and extended at the 2022 Annual General Meeting)</w:t>
      </w:r>
    </w:p>
    <w:p>
      <w:pPr>
        <w:spacing w:after="0" w:line="210" w:lineRule="exact"/>
        <w:rPr>
          <w:sz w:val="20"/>
          <w:szCs w:val="20"/>
          <w:color w:val="auto"/>
        </w:rPr>
      </w:pPr>
    </w:p>
    <w:p>
      <w:pPr>
        <w:ind w:left="780" w:hanging="344"/>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12" w:lineRule="exact"/>
        <w:rPr>
          <w:sz w:val="20"/>
          <w:szCs w:val="20"/>
          <w:color w:val="auto"/>
        </w:rPr>
      </w:pPr>
    </w:p>
    <w:p>
      <w:pPr>
        <w:ind w:right="140" w:firstLine="991"/>
        <w:spacing w:after="0" w:line="271"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and Performance Shares.</w:t>
      </w:r>
    </w:p>
    <w:p>
      <w:pPr>
        <w:spacing w:after="0" w:line="154" w:lineRule="exact"/>
        <w:rPr>
          <w:sz w:val="20"/>
          <w:szCs w:val="20"/>
          <w:color w:val="auto"/>
        </w:rPr>
      </w:pPr>
    </w:p>
    <w:p>
      <w:pPr>
        <w:ind w:left="780" w:hanging="344"/>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11" w:lineRule="exact"/>
        <w:rPr>
          <w:rFonts w:ascii="Arial" w:cs="Arial" w:eastAsia="Arial" w:hAnsi="Arial"/>
          <w:sz w:val="18"/>
          <w:szCs w:val="18"/>
          <w:color w:val="auto"/>
        </w:rPr>
      </w:pPr>
    </w:p>
    <w:p>
      <w:pPr>
        <w:ind w:left="1400" w:hanging="413"/>
        <w:spacing w:after="0"/>
        <w:tabs>
          <w:tab w:leader="none" w:pos="14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 the Plan.</w:t>
      </w:r>
    </w:p>
    <w:p>
      <w:pPr>
        <w:spacing w:after="0" w:line="193" w:lineRule="exact"/>
        <w:rPr>
          <w:rFonts w:ascii="Arial" w:cs="Arial" w:eastAsia="Arial" w:hAnsi="Arial"/>
          <w:sz w:val="17"/>
          <w:szCs w:val="17"/>
          <w:color w:val="auto"/>
        </w:rPr>
      </w:pPr>
    </w:p>
    <w:p>
      <w:pPr>
        <w:ind w:right="120" w:firstLine="987"/>
        <w:spacing w:after="0" w:line="253" w:lineRule="auto"/>
        <w:tabs>
          <w:tab w:leader="none" w:pos="14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68" w:lineRule="exact"/>
        <w:rPr>
          <w:rFonts w:ascii="Arial" w:cs="Arial" w:eastAsia="Arial" w:hAnsi="Arial"/>
          <w:sz w:val="18"/>
          <w:szCs w:val="18"/>
          <w:color w:val="auto"/>
        </w:rPr>
      </w:pPr>
    </w:p>
    <w:p>
      <w:pPr>
        <w:ind w:right="460" w:firstLine="987"/>
        <w:spacing w:after="0" w:line="271" w:lineRule="auto"/>
        <w:tabs>
          <w:tab w:leader="none" w:pos="1401"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53" w:lineRule="exact"/>
        <w:rPr>
          <w:rFonts w:ascii="Arial" w:cs="Arial" w:eastAsia="Arial" w:hAnsi="Arial"/>
          <w:sz w:val="18"/>
          <w:szCs w:val="18"/>
          <w:color w:val="auto"/>
        </w:rPr>
      </w:pPr>
    </w:p>
    <w:p>
      <w:pPr>
        <w:ind w:right="120" w:firstLine="987"/>
        <w:spacing w:after="0" w:line="271" w:lineRule="auto"/>
        <w:tabs>
          <w:tab w:leader="none" w:pos="14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3" w:lineRule="exact"/>
        <w:rPr>
          <w:rFonts w:ascii="Arial" w:cs="Arial" w:eastAsia="Arial" w:hAnsi="Arial"/>
          <w:sz w:val="18"/>
          <w:szCs w:val="18"/>
          <w:color w:val="auto"/>
        </w:rPr>
      </w:pPr>
    </w:p>
    <w:p>
      <w:pPr>
        <w:ind w:left="1400" w:hanging="413"/>
        <w:spacing w:after="0"/>
        <w:tabs>
          <w:tab w:leader="none" w:pos="14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color w:val="auto"/>
        </w:rPr>
      </w:pPr>
    </w:p>
    <w:p>
      <w:pPr>
        <w:ind w:left="1360" w:hanging="373"/>
        <w:spacing w:after="0"/>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11" w:lineRule="exact"/>
        <w:rPr>
          <w:rFonts w:ascii="Arial" w:cs="Arial" w:eastAsia="Arial" w:hAnsi="Arial"/>
          <w:sz w:val="18"/>
          <w:szCs w:val="18"/>
          <w:color w:val="auto"/>
        </w:rPr>
      </w:pPr>
    </w:p>
    <w:p>
      <w:pPr>
        <w:ind w:right="40" w:firstLine="1428"/>
        <w:spacing w:after="0" w:line="244" w:lineRule="auto"/>
        <w:tabs>
          <w:tab w:leader="none" w:pos="1782"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76" w:lineRule="exact"/>
        <w:rPr>
          <w:rFonts w:ascii="Arial" w:cs="Arial" w:eastAsia="Arial" w:hAnsi="Arial"/>
          <w:sz w:val="18"/>
          <w:szCs w:val="18"/>
          <w:color w:val="auto"/>
        </w:rPr>
      </w:pPr>
    </w:p>
    <w:p>
      <w:pPr>
        <w:ind w:right="60" w:firstLine="1428"/>
        <w:spacing w:after="0" w:line="244" w:lineRule="auto"/>
        <w:tabs>
          <w:tab w:leader="none" w:pos="1822"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69" w:right="459" w:bottom="1440" w:gutter="0" w:footer="0" w:header="0"/>
        </w:sectPr>
      </w:pPr>
    </w:p>
    <w:bookmarkStart w:id="80" w:name="page81"/>
    <w:bookmarkEnd w:id="80"/>
    <w:p>
      <w:pPr>
        <w:ind w:left="4" w:firstLine="1428"/>
        <w:spacing w:after="0" w:line="251" w:lineRule="auto"/>
        <w:tabs>
          <w:tab w:leader="none" w:pos="1866"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w:t>
      </w:r>
    </w:p>
    <w:p>
      <w:pPr>
        <w:spacing w:after="0" w:line="2" w:lineRule="exact"/>
        <w:rPr>
          <w:rFonts w:ascii="Arial" w:cs="Arial" w:eastAsia="Arial" w:hAnsi="Arial"/>
          <w:sz w:val="17"/>
          <w:szCs w:val="17"/>
          <w:color w:val="auto"/>
        </w:rPr>
      </w:pPr>
    </w:p>
    <w:p>
      <w:pPr>
        <w:ind w:left="4" w:right="180" w:hanging="4"/>
        <w:spacing w:after="0" w:line="259" w:lineRule="auto"/>
        <w:tabs>
          <w:tab w:leader="none" w:pos="27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64" w:lineRule="exact"/>
        <w:rPr>
          <w:sz w:val="20"/>
          <w:szCs w:val="20"/>
          <w:color w:val="auto"/>
        </w:rPr>
      </w:pPr>
    </w:p>
    <w:p>
      <w:pPr>
        <w:ind w:left="4" w:firstLine="1432"/>
        <w:spacing w:after="0" w:line="271"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4" w:lineRule="exact"/>
        <w:rPr>
          <w:sz w:val="20"/>
          <w:szCs w:val="20"/>
          <w:color w:val="auto"/>
        </w:rPr>
      </w:pPr>
    </w:p>
    <w:p>
      <w:pPr>
        <w:ind w:left="4" w:right="100" w:firstLine="1432"/>
        <w:spacing w:after="0" w:line="24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4" w:lineRule="exact"/>
        <w:rPr>
          <w:sz w:val="20"/>
          <w:szCs w:val="20"/>
          <w:color w:val="auto"/>
        </w:rPr>
      </w:pPr>
    </w:p>
    <w:p>
      <w:pPr>
        <w:ind w:left="4" w:right="120" w:firstLine="1432"/>
        <w:spacing w:after="0" w:line="25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69" w:lineRule="exact"/>
        <w:rPr>
          <w:sz w:val="20"/>
          <w:szCs w:val="20"/>
          <w:color w:val="auto"/>
        </w:rPr>
      </w:pPr>
    </w:p>
    <w:p>
      <w:pPr>
        <w:ind w:left="4" w:right="160" w:firstLine="987"/>
        <w:spacing w:after="0" w:line="253" w:lineRule="auto"/>
        <w:tabs>
          <w:tab w:leader="none" w:pos="14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68" w:lineRule="exact"/>
        <w:rPr>
          <w:rFonts w:ascii="Arial" w:cs="Arial" w:eastAsia="Arial" w:hAnsi="Arial"/>
          <w:sz w:val="18"/>
          <w:szCs w:val="18"/>
          <w:color w:val="auto"/>
        </w:rPr>
      </w:pPr>
    </w:p>
    <w:p>
      <w:pPr>
        <w:ind w:left="4" w:right="140" w:firstLine="987"/>
        <w:spacing w:after="0" w:line="271" w:lineRule="auto"/>
        <w:tabs>
          <w:tab w:leader="none" w:pos="14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a duly authorized committee of the Board, in accordance with Section 4 hereof.</w:t>
      </w:r>
    </w:p>
    <w:p>
      <w:pPr>
        <w:spacing w:after="0" w:line="153" w:lineRule="exact"/>
        <w:rPr>
          <w:rFonts w:ascii="Arial" w:cs="Arial" w:eastAsia="Arial" w:hAnsi="Arial"/>
          <w:sz w:val="18"/>
          <w:szCs w:val="18"/>
          <w:color w:val="auto"/>
        </w:rPr>
      </w:pPr>
    </w:p>
    <w:p>
      <w:pPr>
        <w:ind w:left="1344" w:hanging="353"/>
        <w:spacing w:after="0"/>
        <w:tabs>
          <w:tab w:leader="none" w:pos="13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1" w:lineRule="exact"/>
        <w:rPr>
          <w:rFonts w:ascii="Arial" w:cs="Arial" w:eastAsia="Arial" w:hAnsi="Arial"/>
          <w:sz w:val="18"/>
          <w:szCs w:val="18"/>
          <w:color w:val="auto"/>
        </w:rPr>
      </w:pPr>
    </w:p>
    <w:p>
      <w:pPr>
        <w:ind w:left="1344" w:hanging="353"/>
        <w:spacing w:after="0"/>
        <w:tabs>
          <w:tab w:leader="none" w:pos="13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Qualys, Inc., a Delaware corporation, or any successor thereto.</w:t>
      </w:r>
    </w:p>
    <w:p>
      <w:pPr>
        <w:spacing w:after="0" w:line="211" w:lineRule="exact"/>
        <w:rPr>
          <w:rFonts w:ascii="Arial" w:cs="Arial" w:eastAsia="Arial" w:hAnsi="Arial"/>
          <w:sz w:val="18"/>
          <w:szCs w:val="18"/>
          <w:color w:val="auto"/>
        </w:rPr>
      </w:pPr>
    </w:p>
    <w:p>
      <w:pPr>
        <w:ind w:left="4" w:right="440" w:firstLine="987"/>
        <w:spacing w:after="0" w:line="271" w:lineRule="auto"/>
        <w:tabs>
          <w:tab w:leader="none" w:pos="1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to such entity.</w:t>
      </w:r>
    </w:p>
    <w:p>
      <w:pPr>
        <w:spacing w:after="0" w:line="153" w:lineRule="exact"/>
        <w:rPr>
          <w:rFonts w:ascii="Arial" w:cs="Arial" w:eastAsia="Arial" w:hAnsi="Arial"/>
          <w:sz w:val="18"/>
          <w:szCs w:val="18"/>
          <w:color w:val="auto"/>
        </w:rPr>
      </w:pPr>
    </w:p>
    <w:p>
      <w:pPr>
        <w:ind w:left="1344" w:hanging="353"/>
        <w:spacing w:after="0"/>
        <w:tabs>
          <w:tab w:leader="none" w:pos="13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color w:val="auto"/>
        </w:rPr>
      </w:pPr>
    </w:p>
    <w:p>
      <w:pPr>
        <w:ind w:left="4" w:right="80" w:firstLine="987"/>
        <w:spacing w:after="0" w:line="271" w:lineRule="auto"/>
        <w:tabs>
          <w:tab w:leader="none" w:pos="14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69" w:right="459" w:bottom="1440" w:gutter="0" w:footer="0" w:header="0"/>
        </w:sectPr>
      </w:pPr>
    </w:p>
    <w:bookmarkStart w:id="81" w:name="page82"/>
    <w:bookmarkEnd w:id="81"/>
    <w:p>
      <w:pPr>
        <w:ind w:left="4" w:right="3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discretion may determine whether a permanent and total disability exists in accordance with uniform and non-discriminatory standards adopted by the Administrator from time to time.</w:t>
      </w:r>
    </w:p>
    <w:p>
      <w:pPr>
        <w:spacing w:after="0" w:line="154" w:lineRule="exact"/>
        <w:rPr>
          <w:sz w:val="20"/>
          <w:szCs w:val="20"/>
          <w:color w:val="auto"/>
        </w:rPr>
      </w:pPr>
    </w:p>
    <w:p>
      <w:pPr>
        <w:ind w:left="1404" w:hanging="413"/>
        <w:spacing w:after="0"/>
        <w:tabs>
          <w:tab w:leader="none" w:pos="14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the 2022 Annual General Meeting of the Company’s stockholders.</w:t>
      </w:r>
    </w:p>
    <w:p>
      <w:pPr>
        <w:spacing w:after="0" w:line="211" w:lineRule="exact"/>
        <w:rPr>
          <w:rFonts w:ascii="Arial" w:cs="Arial" w:eastAsia="Arial" w:hAnsi="Arial"/>
          <w:sz w:val="18"/>
          <w:szCs w:val="18"/>
          <w:color w:val="auto"/>
        </w:rPr>
      </w:pPr>
    </w:p>
    <w:p>
      <w:pPr>
        <w:jc w:val="both"/>
        <w:ind w:left="4" w:right="60" w:firstLine="987"/>
        <w:spacing w:after="0" w:line="253" w:lineRule="auto"/>
        <w:tabs>
          <w:tab w:leader="none" w:pos="14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8" w:lineRule="exact"/>
        <w:rPr>
          <w:rFonts w:ascii="Arial" w:cs="Arial" w:eastAsia="Arial" w:hAnsi="Arial"/>
          <w:sz w:val="18"/>
          <w:szCs w:val="18"/>
          <w:color w:val="auto"/>
        </w:rPr>
      </w:pPr>
    </w:p>
    <w:p>
      <w:pPr>
        <w:ind w:left="1404" w:hanging="413"/>
        <w:spacing w:after="0"/>
        <w:tabs>
          <w:tab w:leader="none" w:pos="14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ind w:left="4" w:right="80" w:firstLine="987"/>
        <w:spacing w:after="0" w:line="259" w:lineRule="auto"/>
        <w:tabs>
          <w:tab w:leader="none" w:pos="1415" w:val="left"/>
        </w:tabs>
        <w:numPr>
          <w:ilvl w:val="1"/>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Program</w:t>
      </w:r>
      <w:r>
        <w:rPr>
          <w:rFonts w:ascii="Arial" w:cs="Arial" w:eastAsia="Arial" w:hAnsi="Arial"/>
          <w:sz w:val="17"/>
          <w:szCs w:val="17"/>
          <w:color w:val="auto"/>
        </w:rPr>
        <w:t>” means a program under which (i) outstanding Awards are surrendered or cancelled in exchange for awards of the same type (which may have higher or lower exercise prices and different terms), awards of a different type, and/or cash,</w:t>
      </w:r>
    </w:p>
    <w:p>
      <w:pPr>
        <w:spacing w:after="0" w:line="1" w:lineRule="exact"/>
        <w:rPr>
          <w:rFonts w:ascii="Arial" w:cs="Arial" w:eastAsia="Arial" w:hAnsi="Arial"/>
          <w:sz w:val="17"/>
          <w:szCs w:val="17"/>
          <w:color w:val="auto"/>
        </w:rPr>
      </w:pPr>
    </w:p>
    <w:p>
      <w:pPr>
        <w:ind w:left="4" w:hanging="4"/>
        <w:spacing w:after="0" w:line="242" w:lineRule="auto"/>
        <w:tabs>
          <w:tab w:leader="none" w:pos="2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79" w:lineRule="exact"/>
        <w:rPr>
          <w:rFonts w:ascii="Arial" w:cs="Arial" w:eastAsia="Arial" w:hAnsi="Arial"/>
          <w:sz w:val="18"/>
          <w:szCs w:val="18"/>
          <w:color w:val="auto"/>
        </w:rPr>
      </w:pPr>
    </w:p>
    <w:p>
      <w:pPr>
        <w:ind w:left="1364" w:hanging="373"/>
        <w:spacing w:after="0"/>
        <w:tabs>
          <w:tab w:leader="none" w:pos="13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11" w:lineRule="exact"/>
        <w:rPr>
          <w:rFonts w:ascii="Arial" w:cs="Arial" w:eastAsia="Arial" w:hAnsi="Arial"/>
          <w:sz w:val="18"/>
          <w:szCs w:val="18"/>
          <w:color w:val="auto"/>
        </w:rPr>
      </w:pPr>
    </w:p>
    <w:p>
      <w:pPr>
        <w:ind w:left="4" w:right="40" w:firstLine="1428"/>
        <w:spacing w:after="0" w:line="244" w:lineRule="auto"/>
        <w:tabs>
          <w:tab w:leader="none" w:pos="1796"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76" w:lineRule="exact"/>
        <w:rPr>
          <w:rFonts w:ascii="Arial" w:cs="Arial" w:eastAsia="Arial" w:hAnsi="Arial"/>
          <w:sz w:val="18"/>
          <w:szCs w:val="18"/>
          <w:color w:val="auto"/>
        </w:rPr>
      </w:pPr>
    </w:p>
    <w:p>
      <w:pPr>
        <w:ind w:left="4" w:right="220" w:firstLine="1428"/>
        <w:spacing w:after="0" w:line="247" w:lineRule="auto"/>
        <w:tabs>
          <w:tab w:leader="none" w:pos="1836"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73" w:lineRule="exact"/>
        <w:rPr>
          <w:rFonts w:ascii="Arial" w:cs="Arial" w:eastAsia="Arial" w:hAnsi="Arial"/>
          <w:sz w:val="18"/>
          <w:szCs w:val="18"/>
          <w:color w:val="auto"/>
        </w:rPr>
      </w:pPr>
    </w:p>
    <w:p>
      <w:pPr>
        <w:ind w:left="4" w:right="160" w:firstLine="1428"/>
        <w:spacing w:after="0" w:line="271" w:lineRule="auto"/>
        <w:tabs>
          <w:tab w:leader="none" w:pos="1876" w:val="left"/>
        </w:tabs>
        <w:numPr>
          <w:ilvl w:val="2"/>
          <w:numId w:val="75"/>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53" w:lineRule="exact"/>
        <w:rPr>
          <w:rFonts w:ascii="Arial" w:cs="Arial" w:eastAsia="Arial" w:hAnsi="Arial"/>
          <w:sz w:val="18"/>
          <w:szCs w:val="18"/>
          <w:color w:val="auto"/>
        </w:rPr>
      </w:pPr>
    </w:p>
    <w:p>
      <w:pPr>
        <w:ind w:left="1404" w:hanging="413"/>
        <w:spacing w:after="0"/>
        <w:tabs>
          <w:tab w:leader="none" w:pos="14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11" w:lineRule="exact"/>
        <w:rPr>
          <w:rFonts w:ascii="Arial" w:cs="Arial" w:eastAsia="Arial" w:hAnsi="Arial"/>
          <w:sz w:val="18"/>
          <w:szCs w:val="18"/>
          <w:color w:val="auto"/>
        </w:rPr>
      </w:pPr>
    </w:p>
    <w:p>
      <w:pPr>
        <w:ind w:left="1364" w:hanging="373"/>
        <w:spacing w:after="0"/>
        <w:tabs>
          <w:tab w:leader="none" w:pos="13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422 of the Code and the regulations promulgated thereunder.</w:t>
      </w:r>
    </w:p>
    <w:p>
      <w:pPr>
        <w:spacing w:after="0" w:line="194" w:lineRule="exact"/>
        <w:rPr>
          <w:sz w:val="20"/>
          <w:szCs w:val="20"/>
          <w:color w:val="auto"/>
        </w:rPr>
      </w:pPr>
    </w:p>
    <w:p>
      <w:pPr>
        <w:ind w:left="1404" w:hanging="413"/>
        <w:spacing w:after="0"/>
        <w:tabs>
          <w:tab w:leader="none" w:pos="14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11" w:lineRule="exact"/>
        <w:rPr>
          <w:rFonts w:ascii="Arial" w:cs="Arial" w:eastAsia="Arial" w:hAnsi="Arial"/>
          <w:sz w:val="18"/>
          <w:szCs w:val="18"/>
          <w:color w:val="auto"/>
        </w:rPr>
      </w:pPr>
    </w:p>
    <w:p>
      <w:pPr>
        <w:ind w:left="4" w:right="640" w:firstLine="987"/>
        <w:spacing w:after="0" w:line="271" w:lineRule="auto"/>
        <w:tabs>
          <w:tab w:leader="none" w:pos="14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 Option.</w:t>
      </w:r>
    </w:p>
    <w:p>
      <w:pPr>
        <w:spacing w:after="0" w:line="153" w:lineRule="exact"/>
        <w:rPr>
          <w:rFonts w:ascii="Arial" w:cs="Arial" w:eastAsia="Arial" w:hAnsi="Arial"/>
          <w:sz w:val="18"/>
          <w:szCs w:val="18"/>
          <w:color w:val="auto"/>
        </w:rPr>
      </w:pPr>
    </w:p>
    <w:p>
      <w:pPr>
        <w:ind w:left="4" w:right="240" w:firstLine="987"/>
        <w:spacing w:after="0" w:line="271" w:lineRule="auto"/>
        <w:tabs>
          <w:tab w:leader="none" w:pos="14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53" w:lineRule="exact"/>
        <w:rPr>
          <w:rFonts w:ascii="Arial" w:cs="Arial" w:eastAsia="Arial" w:hAnsi="Arial"/>
          <w:sz w:val="18"/>
          <w:szCs w:val="18"/>
          <w:color w:val="auto"/>
        </w:rPr>
      </w:pPr>
    </w:p>
    <w:p>
      <w:pPr>
        <w:ind w:left="1404" w:hanging="413"/>
        <w:spacing w:after="0"/>
        <w:tabs>
          <w:tab w:leader="none" w:pos="14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69" w:right="459" w:bottom="1440" w:gutter="0" w:footer="0" w:header="0"/>
        </w:sectPr>
      </w:pPr>
    </w:p>
    <w:bookmarkStart w:id="82" w:name="page83"/>
    <w:bookmarkEnd w:id="82"/>
    <w:p>
      <w:pPr>
        <w:ind w:left="1400" w:hanging="413"/>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11" w:lineRule="exact"/>
        <w:rPr>
          <w:rFonts w:ascii="Arial" w:cs="Arial" w:eastAsia="Arial" w:hAnsi="Arial"/>
          <w:sz w:val="18"/>
          <w:szCs w:val="18"/>
          <w:color w:val="auto"/>
        </w:rPr>
      </w:pPr>
    </w:p>
    <w:p>
      <w:pPr>
        <w:ind w:left="1400" w:hanging="413"/>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12" w:lineRule="exact"/>
        <w:rPr>
          <w:sz w:val="20"/>
          <w:szCs w:val="20"/>
          <w:color w:val="auto"/>
        </w:rPr>
      </w:pPr>
    </w:p>
    <w:p>
      <w:pPr>
        <w:ind w:left="1500" w:hanging="513"/>
        <w:spacing w:after="0"/>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11" w:lineRule="exact"/>
        <w:rPr>
          <w:rFonts w:ascii="Arial" w:cs="Arial" w:eastAsia="Arial" w:hAnsi="Arial"/>
          <w:sz w:val="18"/>
          <w:szCs w:val="18"/>
          <w:color w:val="auto"/>
        </w:rPr>
      </w:pPr>
    </w:p>
    <w:p>
      <w:pPr>
        <w:ind w:right="840" w:firstLine="987"/>
        <w:spacing w:after="0" w:line="271" w:lineRule="auto"/>
        <w:tabs>
          <w:tab w:leader="none" w:pos="15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53" w:lineRule="exact"/>
        <w:rPr>
          <w:rFonts w:ascii="Arial" w:cs="Arial" w:eastAsia="Arial" w:hAnsi="Arial"/>
          <w:sz w:val="18"/>
          <w:szCs w:val="18"/>
          <w:color w:val="auto"/>
        </w:rPr>
      </w:pPr>
    </w:p>
    <w:p>
      <w:pPr>
        <w:ind w:firstLine="987"/>
        <w:spacing w:after="0" w:line="253" w:lineRule="auto"/>
        <w:tabs>
          <w:tab w:leader="none" w:pos="14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68" w:lineRule="exact"/>
        <w:rPr>
          <w:rFonts w:ascii="Arial" w:cs="Arial" w:eastAsia="Arial" w:hAnsi="Arial"/>
          <w:sz w:val="18"/>
          <w:szCs w:val="18"/>
          <w:color w:val="auto"/>
        </w:rPr>
      </w:pPr>
    </w:p>
    <w:p>
      <w:pPr>
        <w:ind w:right="40" w:firstLine="987"/>
        <w:spacing w:after="0" w:line="253" w:lineRule="auto"/>
        <w:tabs>
          <w:tab w:leader="none" w:pos="15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68" w:lineRule="exact"/>
        <w:rPr>
          <w:rFonts w:ascii="Arial" w:cs="Arial" w:eastAsia="Arial" w:hAnsi="Arial"/>
          <w:sz w:val="18"/>
          <w:szCs w:val="18"/>
          <w:color w:val="auto"/>
        </w:rPr>
      </w:pPr>
    </w:p>
    <w:p>
      <w:pPr>
        <w:ind w:left="1500" w:hanging="513"/>
        <w:spacing w:after="0"/>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2012 Equity Incentive Plan, as amended and restated.</w:t>
      </w:r>
    </w:p>
    <w:p>
      <w:pPr>
        <w:spacing w:after="0" w:line="211" w:lineRule="exact"/>
        <w:rPr>
          <w:rFonts w:ascii="Arial" w:cs="Arial" w:eastAsia="Arial" w:hAnsi="Arial"/>
          <w:sz w:val="18"/>
          <w:szCs w:val="18"/>
          <w:color w:val="auto"/>
        </w:rPr>
      </w:pPr>
    </w:p>
    <w:p>
      <w:pPr>
        <w:ind w:right="340" w:firstLine="987"/>
        <w:spacing w:after="0" w:line="271" w:lineRule="auto"/>
        <w:tabs>
          <w:tab w:leader="none" w:pos="14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153" w:lineRule="exact"/>
        <w:rPr>
          <w:rFonts w:ascii="Arial" w:cs="Arial" w:eastAsia="Arial" w:hAnsi="Arial"/>
          <w:sz w:val="18"/>
          <w:szCs w:val="18"/>
          <w:color w:val="auto"/>
        </w:rPr>
      </w:pPr>
    </w:p>
    <w:p>
      <w:pPr>
        <w:jc w:val="both"/>
        <w:ind w:right="460" w:firstLine="987"/>
        <w:spacing w:after="0" w:line="301" w:lineRule="auto"/>
        <w:tabs>
          <w:tab w:leader="none" w:pos="1511" w:val="left"/>
        </w:tabs>
        <w:numPr>
          <w:ilvl w:val="1"/>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130" w:lineRule="exact"/>
        <w:rPr>
          <w:rFonts w:ascii="Arial" w:cs="Arial" w:eastAsia="Arial" w:hAnsi="Arial"/>
          <w:sz w:val="17"/>
          <w:szCs w:val="17"/>
          <w:color w:val="auto"/>
        </w:rPr>
      </w:pPr>
    </w:p>
    <w:p>
      <w:pPr>
        <w:ind w:right="320" w:firstLine="987"/>
        <w:spacing w:after="0" w:line="271" w:lineRule="auto"/>
        <w:tabs>
          <w:tab w:leader="none" w:pos="15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53" w:lineRule="exact"/>
        <w:rPr>
          <w:rFonts w:ascii="Arial" w:cs="Arial" w:eastAsia="Arial" w:hAnsi="Arial"/>
          <w:sz w:val="18"/>
          <w:szCs w:val="18"/>
          <w:color w:val="auto"/>
        </w:rPr>
      </w:pPr>
    </w:p>
    <w:p>
      <w:pPr>
        <w:ind w:left="1380" w:hanging="393"/>
        <w:spacing w:after="0"/>
        <w:tabs>
          <w:tab w:leader="none" w:pos="1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11" w:lineRule="exact"/>
        <w:rPr>
          <w:rFonts w:ascii="Arial" w:cs="Arial" w:eastAsia="Arial" w:hAnsi="Arial"/>
          <w:sz w:val="18"/>
          <w:szCs w:val="18"/>
          <w:color w:val="auto"/>
        </w:rPr>
      </w:pPr>
    </w:p>
    <w:p>
      <w:pPr>
        <w:ind w:left="1380" w:hanging="393"/>
        <w:spacing w:after="0"/>
        <w:tabs>
          <w:tab w:leader="none" w:pos="1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11" w:lineRule="exact"/>
        <w:rPr>
          <w:rFonts w:ascii="Arial" w:cs="Arial" w:eastAsia="Arial" w:hAnsi="Arial"/>
          <w:sz w:val="18"/>
          <w:szCs w:val="18"/>
          <w:color w:val="auto"/>
        </w:rPr>
      </w:pPr>
    </w:p>
    <w:p>
      <w:pPr>
        <w:ind w:left="1480" w:hanging="493"/>
        <w:spacing w:after="0"/>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11" w:lineRule="exact"/>
        <w:rPr>
          <w:rFonts w:ascii="Arial" w:cs="Arial" w:eastAsia="Arial" w:hAnsi="Arial"/>
          <w:sz w:val="18"/>
          <w:szCs w:val="18"/>
          <w:color w:val="auto"/>
        </w:rPr>
      </w:pPr>
    </w:p>
    <w:p>
      <w:pPr>
        <w:ind w:right="80" w:firstLine="987"/>
        <w:spacing w:after="0" w:line="271" w:lineRule="auto"/>
        <w:tabs>
          <w:tab w:leader="none" w:pos="13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53" w:lineRule="exact"/>
        <w:rPr>
          <w:rFonts w:ascii="Arial" w:cs="Arial" w:eastAsia="Arial" w:hAnsi="Arial"/>
          <w:sz w:val="18"/>
          <w:szCs w:val="18"/>
          <w:color w:val="auto"/>
        </w:rPr>
      </w:pPr>
    </w:p>
    <w:p>
      <w:pPr>
        <w:ind w:left="1600" w:hanging="613"/>
        <w:spacing w:after="0"/>
        <w:tabs>
          <w:tab w:leader="none" w:pos="1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Code.</w:t>
      </w:r>
    </w:p>
    <w:p>
      <w:pPr>
        <w:spacing w:after="0" w:line="193" w:lineRule="exact"/>
        <w:rPr>
          <w:rFonts w:ascii="Arial" w:cs="Arial" w:eastAsia="Arial" w:hAnsi="Arial"/>
          <w:sz w:val="18"/>
          <w:szCs w:val="18"/>
          <w:color w:val="auto"/>
        </w:rPr>
      </w:pPr>
    </w:p>
    <w:p>
      <w:pPr>
        <w:ind w:left="780" w:hanging="344"/>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right="380" w:firstLine="987"/>
        <w:spacing w:after="0" w:line="275" w:lineRule="auto"/>
        <w:tabs>
          <w:tab w:leader="none" w:pos="1411"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13 of the Plan, as of the Effective Date, the maximum aggregate number of Shares that may be issued under the new Plan amended and restated at the 2022 Annual General Meeting is (i) 3,300,000 Shares, plus (ii) any Shares subject to Awards under the previous version of this Plan that had been in place prior to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69" w:right="459" w:bottom="1440" w:gutter="0" w:footer="0" w:header="0"/>
        </w:sectPr>
      </w:pPr>
    </w:p>
    <w:bookmarkStart w:id="83" w:name="page84"/>
    <w:bookmarkEnd w:id="83"/>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 (the “</w:t>
      </w:r>
      <w:r>
        <w:rPr>
          <w:rFonts w:ascii="Arial" w:cs="Arial" w:eastAsia="Arial" w:hAnsi="Arial"/>
          <w:sz w:val="18"/>
          <w:szCs w:val="18"/>
          <w:u w:val="single" w:color="auto"/>
          <w:color w:val="auto"/>
        </w:rPr>
        <w:t>Existing Plan</w:t>
      </w:r>
      <w:r>
        <w:rPr>
          <w:rFonts w:ascii="Arial" w:cs="Arial" w:eastAsia="Arial" w:hAnsi="Arial"/>
          <w:sz w:val="18"/>
          <w:szCs w:val="18"/>
          <w:color w:val="auto"/>
        </w:rPr>
        <w:t>”) that, on or after the date the Effective Date, expire or otherwise terminate without having been exercised in full, or that are forfeited to or repurchased by the Company, with the maximum number of Shares to be added to the Plan as a result of clause (ii) equal to 2,712,691, minus (iii) any Shares subject to Awards granted under the Existing Plan after March 31, 2022, but before the Effective Date. For clarity, Shares used to pay the exercise price of an award granted under the Existing Plan or to satisfy the tax withholding obligations related to an award granted under the Existing Plan will not be added to the Plan pursuant to clause (ii) of the previous sentence. The Shares may be authorized, but unissued, or reacquired Common Stock.</w:t>
      </w:r>
    </w:p>
    <w:p>
      <w:pPr>
        <w:spacing w:after="0" w:line="179" w:lineRule="exact"/>
        <w:rPr>
          <w:sz w:val="20"/>
          <w:szCs w:val="20"/>
          <w:color w:val="auto"/>
        </w:rPr>
      </w:pPr>
    </w:p>
    <w:p>
      <w:pPr>
        <w:ind w:left="1400" w:hanging="413"/>
        <w:spacing w:after="0"/>
        <w:tabs>
          <w:tab w:leader="none" w:pos="14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[REDACTED].</w:t>
      </w:r>
    </w:p>
    <w:p>
      <w:pPr>
        <w:spacing w:after="0" w:line="211" w:lineRule="exact"/>
        <w:rPr>
          <w:rFonts w:ascii="Arial" w:cs="Arial" w:eastAsia="Arial" w:hAnsi="Arial"/>
          <w:sz w:val="18"/>
          <w:szCs w:val="18"/>
          <w:color w:val="auto"/>
        </w:rPr>
      </w:pPr>
    </w:p>
    <w:p>
      <w:pPr>
        <w:ind w:right="20" w:firstLine="987"/>
        <w:spacing w:after="0" w:line="237" w:lineRule="auto"/>
        <w:tabs>
          <w:tab w:leader="none" w:pos="140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all Shares granted (i.e.,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87" w:lineRule="exact"/>
        <w:rPr>
          <w:rFonts w:ascii="Arial" w:cs="Arial" w:eastAsia="Arial" w:hAnsi="Arial"/>
          <w:sz w:val="18"/>
          <w:szCs w:val="18"/>
          <w:color w:val="auto"/>
        </w:rPr>
      </w:pPr>
    </w:p>
    <w:p>
      <w:pPr>
        <w:ind w:right="180" w:firstLine="987"/>
        <w:spacing w:after="0" w:line="271" w:lineRule="auto"/>
        <w:tabs>
          <w:tab w:leader="none" w:pos="141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53" w:lineRule="exact"/>
        <w:rPr>
          <w:rFonts w:ascii="Arial" w:cs="Arial" w:eastAsia="Arial" w:hAnsi="Arial"/>
          <w:sz w:val="18"/>
          <w:szCs w:val="18"/>
          <w:color w:val="auto"/>
        </w:rPr>
      </w:pPr>
    </w:p>
    <w:p>
      <w:pPr>
        <w:ind w:left="780" w:hanging="344"/>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00" w:hanging="413"/>
        <w:spacing w:after="0"/>
        <w:tabs>
          <w:tab w:leader="none" w:pos="140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780" w:hanging="352"/>
        <w:spacing w:after="0"/>
        <w:tabs>
          <w:tab w:leader="none" w:pos="1780"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administer the Plan.</w:t>
      </w:r>
    </w:p>
    <w:p>
      <w:pPr>
        <w:spacing w:after="0" w:line="193" w:lineRule="exact"/>
        <w:rPr>
          <w:rFonts w:ascii="Arial" w:cs="Arial" w:eastAsia="Arial" w:hAnsi="Arial"/>
          <w:sz w:val="18"/>
          <w:szCs w:val="18"/>
          <w:color w:val="auto"/>
        </w:rPr>
      </w:pPr>
    </w:p>
    <w:p>
      <w:pPr>
        <w:ind w:right="260" w:firstLine="1428"/>
        <w:spacing w:after="0" w:line="253" w:lineRule="auto"/>
        <w:tabs>
          <w:tab w:leader="none" w:pos="1832"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68" w:lineRule="exact"/>
        <w:rPr>
          <w:rFonts w:ascii="Arial" w:cs="Arial" w:eastAsia="Arial" w:hAnsi="Arial"/>
          <w:sz w:val="18"/>
          <w:szCs w:val="18"/>
          <w:color w:val="auto"/>
        </w:rPr>
      </w:pPr>
    </w:p>
    <w:p>
      <w:pPr>
        <w:ind w:firstLine="1428"/>
        <w:spacing w:after="0" w:line="271" w:lineRule="auto"/>
        <w:tabs>
          <w:tab w:leader="none" w:pos="1872"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69" w:right="459" w:bottom="1440" w:gutter="0" w:footer="0" w:header="0"/>
        </w:sectPr>
      </w:pPr>
    </w:p>
    <w:bookmarkStart w:id="84" w:name="page85"/>
    <w:bookmarkEnd w:id="84"/>
    <w:p>
      <w:pPr>
        <w:ind w:right="620" w:firstLine="1428"/>
        <w:spacing w:after="0" w:line="271" w:lineRule="auto"/>
        <w:tabs>
          <w:tab w:leader="none" w:pos="1882"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53" w:lineRule="exact"/>
        <w:rPr>
          <w:rFonts w:ascii="Arial" w:cs="Arial" w:eastAsia="Arial" w:hAnsi="Arial"/>
          <w:sz w:val="18"/>
          <w:szCs w:val="18"/>
          <w:color w:val="auto"/>
        </w:rPr>
      </w:pPr>
    </w:p>
    <w:p>
      <w:pPr>
        <w:ind w:firstLine="987"/>
        <w:spacing w:after="0" w:line="271" w:lineRule="auto"/>
        <w:tabs>
          <w:tab w:leader="none" w:pos="1411"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53" w:lineRule="exact"/>
        <w:rPr>
          <w:rFonts w:ascii="Arial" w:cs="Arial" w:eastAsia="Arial" w:hAnsi="Arial"/>
          <w:sz w:val="18"/>
          <w:szCs w:val="18"/>
          <w:color w:val="auto"/>
        </w:rPr>
      </w:pPr>
    </w:p>
    <w:p>
      <w:pPr>
        <w:ind w:left="1780" w:hanging="352"/>
        <w:spacing w:after="0"/>
        <w:tabs>
          <w:tab w:leader="none" w:pos="17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11" w:lineRule="exact"/>
        <w:rPr>
          <w:rFonts w:ascii="Arial" w:cs="Arial" w:eastAsia="Arial" w:hAnsi="Arial"/>
          <w:sz w:val="18"/>
          <w:szCs w:val="18"/>
          <w:color w:val="auto"/>
        </w:rPr>
      </w:pPr>
    </w:p>
    <w:p>
      <w:pPr>
        <w:ind w:left="1820" w:hanging="392"/>
        <w:spacing w:after="0"/>
        <w:tabs>
          <w:tab w:leader="none" w:pos="18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11" w:lineRule="exact"/>
        <w:rPr>
          <w:rFonts w:ascii="Arial" w:cs="Arial" w:eastAsia="Arial" w:hAnsi="Arial"/>
          <w:sz w:val="18"/>
          <w:szCs w:val="18"/>
          <w:color w:val="auto"/>
        </w:rPr>
      </w:pPr>
    </w:p>
    <w:p>
      <w:pPr>
        <w:ind w:left="1860" w:hanging="432"/>
        <w:spacing w:after="0"/>
        <w:tabs>
          <w:tab w:leader="none" w:pos="18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11" w:lineRule="exact"/>
        <w:rPr>
          <w:rFonts w:ascii="Arial" w:cs="Arial" w:eastAsia="Arial" w:hAnsi="Arial"/>
          <w:sz w:val="18"/>
          <w:szCs w:val="18"/>
          <w:color w:val="auto"/>
        </w:rPr>
      </w:pPr>
    </w:p>
    <w:p>
      <w:pPr>
        <w:ind w:left="1880" w:hanging="452"/>
        <w:spacing w:after="0"/>
        <w:tabs>
          <w:tab w:leader="none" w:pos="18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11" w:lineRule="exact"/>
        <w:rPr>
          <w:rFonts w:ascii="Arial" w:cs="Arial" w:eastAsia="Arial" w:hAnsi="Arial"/>
          <w:sz w:val="18"/>
          <w:szCs w:val="18"/>
          <w:color w:val="auto"/>
        </w:rPr>
      </w:pPr>
    </w:p>
    <w:p>
      <w:pPr>
        <w:jc w:val="both"/>
        <w:ind w:firstLine="1428"/>
        <w:spacing w:after="0" w:line="247" w:lineRule="auto"/>
        <w:tabs>
          <w:tab w:leader="none" w:pos="184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3" w:lineRule="exact"/>
        <w:rPr>
          <w:rFonts w:ascii="Arial" w:cs="Arial" w:eastAsia="Arial" w:hAnsi="Arial"/>
          <w:sz w:val="18"/>
          <w:szCs w:val="18"/>
          <w:color w:val="auto"/>
        </w:rPr>
      </w:pPr>
    </w:p>
    <w:p>
      <w:pPr>
        <w:ind w:left="1880" w:hanging="452"/>
        <w:spacing w:after="0"/>
        <w:tabs>
          <w:tab w:leader="none" w:pos="18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1" w:lineRule="exact"/>
        <w:rPr>
          <w:rFonts w:ascii="Arial" w:cs="Arial" w:eastAsia="Arial" w:hAnsi="Arial"/>
          <w:sz w:val="18"/>
          <w:szCs w:val="18"/>
          <w:color w:val="auto"/>
        </w:rPr>
      </w:pPr>
    </w:p>
    <w:p>
      <w:pPr>
        <w:jc w:val="both"/>
        <w:ind w:right="80" w:firstLine="1428"/>
        <w:spacing w:after="0" w:line="253" w:lineRule="auto"/>
        <w:tabs>
          <w:tab w:leader="none" w:pos="192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8" w:lineRule="exact"/>
        <w:rPr>
          <w:rFonts w:ascii="Arial" w:cs="Arial" w:eastAsia="Arial" w:hAnsi="Arial"/>
          <w:sz w:val="18"/>
          <w:szCs w:val="18"/>
          <w:color w:val="auto"/>
        </w:rPr>
      </w:pPr>
    </w:p>
    <w:p>
      <w:pPr>
        <w:jc w:val="both"/>
        <w:ind w:right="620" w:firstLine="1428"/>
        <w:spacing w:after="0" w:line="253" w:lineRule="auto"/>
        <w:tabs>
          <w:tab w:leader="none" w:pos="196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modify or amend each Award (subject to Sections 5 and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68" w:lineRule="exact"/>
        <w:rPr>
          <w:rFonts w:ascii="Arial" w:cs="Arial" w:eastAsia="Arial" w:hAnsi="Arial"/>
          <w:sz w:val="18"/>
          <w:szCs w:val="18"/>
          <w:color w:val="auto"/>
        </w:rPr>
      </w:pPr>
    </w:p>
    <w:p>
      <w:pPr>
        <w:ind w:left="1880" w:hanging="452"/>
        <w:spacing w:after="0"/>
        <w:tabs>
          <w:tab w:leader="none" w:pos="18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prescribed in Section 14 of the Plan;</w:t>
      </w:r>
    </w:p>
    <w:p>
      <w:pPr>
        <w:spacing w:after="0" w:line="211" w:lineRule="exact"/>
        <w:rPr>
          <w:rFonts w:ascii="Arial" w:cs="Arial" w:eastAsia="Arial" w:hAnsi="Arial"/>
          <w:sz w:val="18"/>
          <w:szCs w:val="18"/>
          <w:color w:val="auto"/>
        </w:rPr>
      </w:pPr>
    </w:p>
    <w:p>
      <w:pPr>
        <w:ind w:right="460" w:firstLine="1428"/>
        <w:spacing w:after="0" w:line="271" w:lineRule="auto"/>
        <w:tabs>
          <w:tab w:leader="none" w:pos="184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53" w:lineRule="exact"/>
        <w:rPr>
          <w:rFonts w:ascii="Arial" w:cs="Arial" w:eastAsia="Arial" w:hAnsi="Arial"/>
          <w:sz w:val="18"/>
          <w:szCs w:val="18"/>
          <w:color w:val="auto"/>
        </w:rPr>
      </w:pPr>
    </w:p>
    <w:p>
      <w:pPr>
        <w:ind w:right="100" w:firstLine="1428"/>
        <w:spacing w:after="0" w:line="271" w:lineRule="auto"/>
        <w:tabs>
          <w:tab w:leader="none" w:pos="188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53" w:lineRule="exact"/>
        <w:rPr>
          <w:rFonts w:ascii="Arial" w:cs="Arial" w:eastAsia="Arial" w:hAnsi="Arial"/>
          <w:sz w:val="18"/>
          <w:szCs w:val="18"/>
          <w:color w:val="auto"/>
        </w:rPr>
      </w:pPr>
    </w:p>
    <w:p>
      <w:pPr>
        <w:ind w:left="1920" w:hanging="492"/>
        <w:spacing w:after="0"/>
        <w:tabs>
          <w:tab w:leader="none" w:pos="19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11" w:lineRule="exact"/>
        <w:rPr>
          <w:rFonts w:ascii="Arial" w:cs="Arial" w:eastAsia="Arial" w:hAnsi="Arial"/>
          <w:sz w:val="18"/>
          <w:szCs w:val="18"/>
          <w:color w:val="auto"/>
        </w:rPr>
      </w:pPr>
    </w:p>
    <w:p>
      <w:pPr>
        <w:ind w:right="400" w:firstLine="987"/>
        <w:spacing w:after="0" w:line="271" w:lineRule="auto"/>
        <w:tabs>
          <w:tab w:leader="none" w:pos="1401"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53" w:lineRule="exact"/>
        <w:rPr>
          <w:rFonts w:ascii="Arial" w:cs="Arial" w:eastAsia="Arial" w:hAnsi="Arial"/>
          <w:sz w:val="18"/>
          <w:szCs w:val="18"/>
          <w:color w:val="auto"/>
        </w:rPr>
      </w:pPr>
    </w:p>
    <w:p>
      <w:pPr>
        <w:ind w:left="780" w:hanging="344"/>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Eligibility &amp; 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40" w:firstLine="987"/>
        <w:spacing w:after="0" w:line="301" w:lineRule="auto"/>
        <w:tabs>
          <w:tab w:leader="none" w:pos="1411"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69" w:right="459" w:bottom="1440" w:gutter="0" w:footer="0" w:header="0"/>
        </w:sectPr>
      </w:pPr>
    </w:p>
    <w:bookmarkStart w:id="85" w:name="page86"/>
    <w:bookmarkEnd w:id="85"/>
    <w:p>
      <w:pPr>
        <w:ind w:left="1380" w:hanging="413"/>
        <w:spacing w:after="0"/>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 w:right="140" w:firstLine="1428"/>
        <w:spacing w:after="0" w:line="244" w:lineRule="auto"/>
        <w:tabs>
          <w:tab w:leader="none" w:pos="1772"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Outside Director Limitations</w:t>
      </w:r>
      <w:r>
        <w:rPr>
          <w:rFonts w:ascii="Arial" w:cs="Arial" w:eastAsia="Arial" w:hAnsi="Arial"/>
          <w:sz w:val="18"/>
          <w:szCs w:val="18"/>
          <w:color w:val="auto"/>
        </w:rPr>
        <w:t>. No Outside Director may, in any Fiscal Year, be paid cash compensation and granted Awards with an aggregate value (determined under GAAP with respect to Awards) greater than $1,000,000, except that such limit will be increased to $2,000,000 in the Fiscal Year of his or her initial service as an Outside Director. Any cash compensation paid or Awards granted to an individual for his or her services as an Employee, or for his or her services as a Consultant (other than as an Outside Director), will not count for purpose of this limitation.</w:t>
      </w:r>
    </w:p>
    <w:p>
      <w:pPr>
        <w:spacing w:after="0" w:line="176" w:lineRule="exact"/>
        <w:rPr>
          <w:rFonts w:ascii="Arial" w:cs="Arial" w:eastAsia="Arial" w:hAnsi="Arial"/>
          <w:sz w:val="18"/>
          <w:szCs w:val="18"/>
          <w:color w:val="auto"/>
        </w:rPr>
      </w:pPr>
    </w:p>
    <w:p>
      <w:pPr>
        <w:ind w:left="-20" w:right="440" w:firstLine="1428"/>
        <w:spacing w:after="0" w:line="271" w:lineRule="auto"/>
        <w:tabs>
          <w:tab w:leader="none" w:pos="1812"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No dividends or other distributions shall be paid with respect to any Shares underlying any unvested portion of an Award.</w:t>
      </w:r>
    </w:p>
    <w:p>
      <w:pPr>
        <w:spacing w:after="0" w:line="153" w:lineRule="exact"/>
        <w:rPr>
          <w:rFonts w:ascii="Arial" w:cs="Arial" w:eastAsia="Arial" w:hAnsi="Arial"/>
          <w:sz w:val="18"/>
          <w:szCs w:val="18"/>
          <w:color w:val="auto"/>
        </w:rPr>
      </w:pPr>
    </w:p>
    <w:p>
      <w:pPr>
        <w:ind w:left="-20" w:right="40" w:firstLine="1428"/>
        <w:spacing w:after="0" w:line="247" w:lineRule="auto"/>
        <w:tabs>
          <w:tab w:leader="none" w:pos="1852"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Sections 4 and/or 13(c), the Administrator may not exercise discretion in a Change in Control to accelerate the vesting of Awards. For clarity, the exercise discretion does not include automatic acceleration for Awards not assumed in Section 13(c), Outside Director Awards set forth in Section 13(d) and any accelerated vesting terms set forth in an Award Agreement, a contract or a policy.</w:t>
      </w:r>
    </w:p>
    <w:p>
      <w:pPr>
        <w:spacing w:after="0" w:line="173" w:lineRule="exact"/>
        <w:rPr>
          <w:rFonts w:ascii="Arial" w:cs="Arial" w:eastAsia="Arial" w:hAnsi="Arial"/>
          <w:sz w:val="18"/>
          <w:szCs w:val="18"/>
          <w:color w:val="auto"/>
        </w:rPr>
      </w:pPr>
    </w:p>
    <w:p>
      <w:pPr>
        <w:ind w:left="1860" w:hanging="452"/>
        <w:spacing w:after="0"/>
        <w:tabs>
          <w:tab w:leader="none" w:pos="186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No Exchange Programs</w:t>
      </w:r>
      <w:r>
        <w:rPr>
          <w:rFonts w:ascii="Arial" w:cs="Arial" w:eastAsia="Arial" w:hAnsi="Arial"/>
          <w:sz w:val="18"/>
          <w:szCs w:val="18"/>
          <w:color w:val="auto"/>
        </w:rPr>
        <w:t>. The Administrator may not implement an Exchange Program.</w:t>
      </w:r>
    </w:p>
    <w:p>
      <w:pPr>
        <w:spacing w:after="0" w:line="211" w:lineRule="exact"/>
        <w:rPr>
          <w:rFonts w:ascii="Arial" w:cs="Arial" w:eastAsia="Arial" w:hAnsi="Arial"/>
          <w:sz w:val="18"/>
          <w:szCs w:val="18"/>
          <w:color w:val="auto"/>
        </w:rPr>
      </w:pPr>
    </w:p>
    <w:p>
      <w:pPr>
        <w:ind w:left="-20" w:right="340" w:firstLine="1428"/>
        <w:spacing w:after="0" w:line="253" w:lineRule="auto"/>
        <w:tabs>
          <w:tab w:leader="none" w:pos="1822"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No Section 4999 Excise Tax Gross-Up</w:t>
      </w:r>
      <w:r>
        <w:rPr>
          <w:rFonts w:ascii="Arial" w:cs="Arial" w:eastAsia="Arial" w:hAnsi="Arial"/>
          <w:sz w:val="18"/>
          <w:szCs w:val="18"/>
          <w:color w:val="auto"/>
        </w:rPr>
        <w:t>. The Administrator may not provide for any tax gross up payment to any Participant, or otherwise provide any Participant with a right to indemnification or reimbursement, for any excise tax imposed by Section 4999 of the Code or any similar law.</w:t>
      </w:r>
    </w:p>
    <w:p>
      <w:pPr>
        <w:spacing w:after="0" w:line="168" w:lineRule="exact"/>
        <w:rPr>
          <w:rFonts w:ascii="Arial" w:cs="Arial" w:eastAsia="Arial" w:hAnsi="Arial"/>
          <w:sz w:val="18"/>
          <w:szCs w:val="18"/>
          <w:color w:val="auto"/>
        </w:rPr>
      </w:pPr>
    </w:p>
    <w:p>
      <w:pPr>
        <w:ind w:left="760" w:hanging="344"/>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 w:firstLine="987"/>
        <w:spacing w:after="0" w:line="259" w:lineRule="auto"/>
        <w:tabs>
          <w:tab w:leader="none" w:pos="1391"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65" w:lineRule="exact"/>
        <w:rPr>
          <w:rFonts w:ascii="Arial" w:cs="Arial" w:eastAsia="Arial" w:hAnsi="Arial"/>
          <w:sz w:val="17"/>
          <w:szCs w:val="17"/>
          <w:color w:val="auto"/>
        </w:rPr>
      </w:pPr>
    </w:p>
    <w:p>
      <w:pPr>
        <w:ind w:left="-20" w:right="80" w:firstLine="987"/>
        <w:spacing w:after="0" w:line="242" w:lineRule="auto"/>
        <w:tabs>
          <w:tab w:leader="none" w:pos="139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8" w:lineRule="exact"/>
        <w:rPr>
          <w:rFonts w:ascii="Arial" w:cs="Arial" w:eastAsia="Arial" w:hAnsi="Arial"/>
          <w:sz w:val="18"/>
          <w:szCs w:val="18"/>
          <w:color w:val="auto"/>
        </w:rPr>
      </w:pPr>
    </w:p>
    <w:p>
      <w:pPr>
        <w:ind w:left="1380" w:hanging="413"/>
        <w:spacing w:after="0"/>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 w:right="240" w:firstLine="1428"/>
        <w:spacing w:after="0" w:line="271" w:lineRule="auto"/>
        <w:tabs>
          <w:tab w:leader="none" w:pos="1772"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53" w:lineRule="exact"/>
        <w:rPr>
          <w:rFonts w:ascii="Arial" w:cs="Arial" w:eastAsia="Arial" w:hAnsi="Arial"/>
          <w:sz w:val="18"/>
          <w:szCs w:val="18"/>
          <w:color w:val="auto"/>
        </w:rPr>
      </w:pPr>
    </w:p>
    <w:p>
      <w:pPr>
        <w:ind w:left="2380" w:hanging="421"/>
        <w:spacing w:after="0"/>
        <w:tabs>
          <w:tab w:leader="none" w:pos="2380" w:val="left"/>
        </w:tabs>
        <w:numPr>
          <w:ilvl w:val="3"/>
          <w:numId w:val="86"/>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12" w:lineRule="exact"/>
        <w:rPr>
          <w:sz w:val="20"/>
          <w:szCs w:val="20"/>
          <w:color w:val="auto"/>
        </w:rPr>
      </w:pPr>
    </w:p>
    <w:p>
      <w:pPr>
        <w:ind w:left="-20" w:right="920" w:firstLine="2419"/>
        <w:spacing w:after="0" w:line="271" w:lineRule="auto"/>
        <w:tabs>
          <w:tab w:leader="none" w:pos="28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60" w:top="269" w:right="45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of the Company or any Parent or Subsidiary, the per Share exercise price will be no less than one hundred ten percent (110%) of the Fair Market Value per Share on the date of grant.</w:t>
      </w:r>
    </w:p>
    <w:p>
      <w:pPr>
        <w:spacing w:after="0" w:line="154" w:lineRule="exact"/>
        <w:rPr>
          <w:sz w:val="20"/>
          <w:szCs w:val="20"/>
          <w:color w:val="auto"/>
        </w:rPr>
      </w:pPr>
    </w:p>
    <w:p>
      <w:pPr>
        <w:ind w:right="100" w:firstLine="2419"/>
        <w:spacing w:after="0" w:line="271" w:lineRule="auto"/>
        <w:tabs>
          <w:tab w:leader="none" w:pos="2863" w:val="left"/>
        </w:tabs>
        <w:numPr>
          <w:ilvl w:val="3"/>
          <w:numId w:val="88"/>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53" w:lineRule="exact"/>
        <w:rPr>
          <w:rFonts w:ascii="Arial" w:cs="Arial" w:eastAsia="Arial" w:hAnsi="Arial"/>
          <w:sz w:val="18"/>
          <w:szCs w:val="18"/>
          <w:color w:val="auto"/>
        </w:rPr>
      </w:pPr>
    </w:p>
    <w:p>
      <w:pPr>
        <w:ind w:right="240" w:firstLine="1979"/>
        <w:spacing w:after="0" w:line="271" w:lineRule="auto"/>
        <w:tabs>
          <w:tab w:leader="none" w:pos="2403"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53" w:lineRule="exact"/>
        <w:rPr>
          <w:rFonts w:ascii="Arial" w:cs="Arial" w:eastAsia="Arial" w:hAnsi="Arial"/>
          <w:sz w:val="18"/>
          <w:szCs w:val="18"/>
          <w:color w:val="auto"/>
        </w:rPr>
      </w:pPr>
    </w:p>
    <w:p>
      <w:pPr>
        <w:ind w:right="200" w:firstLine="1979"/>
        <w:spacing w:after="0" w:line="253" w:lineRule="auto"/>
        <w:tabs>
          <w:tab w:leader="none" w:pos="2403" w:val="left"/>
        </w:tabs>
        <w:numPr>
          <w:ilvl w:val="2"/>
          <w:numId w:val="89"/>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68" w:lineRule="exact"/>
        <w:rPr>
          <w:rFonts w:ascii="Arial" w:cs="Arial" w:eastAsia="Arial" w:hAnsi="Arial"/>
          <w:sz w:val="18"/>
          <w:szCs w:val="18"/>
          <w:color w:val="auto"/>
        </w:rPr>
      </w:pPr>
    </w:p>
    <w:p>
      <w:pPr>
        <w:ind w:right="420" w:firstLine="1428"/>
        <w:spacing w:after="0" w:line="301" w:lineRule="auto"/>
        <w:tabs>
          <w:tab w:leader="none" w:pos="1832"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30" w:lineRule="exact"/>
        <w:rPr>
          <w:rFonts w:ascii="Arial" w:cs="Arial" w:eastAsia="Arial" w:hAnsi="Arial"/>
          <w:sz w:val="17"/>
          <w:szCs w:val="17"/>
          <w:color w:val="auto"/>
        </w:rPr>
      </w:pPr>
    </w:p>
    <w:p>
      <w:pPr>
        <w:ind w:firstLine="1428"/>
        <w:spacing w:after="0" w:line="239" w:lineRule="auto"/>
        <w:tabs>
          <w:tab w:leader="none" w:pos="187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3" w:lineRule="exact"/>
        <w:rPr>
          <w:rFonts w:ascii="Arial" w:cs="Arial" w:eastAsia="Arial" w:hAnsi="Arial"/>
          <w:sz w:val="18"/>
          <w:szCs w:val="18"/>
          <w:color w:val="auto"/>
        </w:rPr>
      </w:pPr>
    </w:p>
    <w:p>
      <w:pPr>
        <w:ind w:left="1400" w:hanging="413"/>
        <w:spacing w:after="0"/>
        <w:tabs>
          <w:tab w:leader="none" w:pos="14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20" w:firstLine="1428"/>
        <w:spacing w:after="0" w:line="253" w:lineRule="auto"/>
        <w:tabs>
          <w:tab w:leader="none" w:pos="179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9" w:lineRule="exact"/>
        <w:rPr>
          <w:sz w:val="20"/>
          <w:szCs w:val="20"/>
          <w:color w:val="auto"/>
        </w:rPr>
      </w:pPr>
    </w:p>
    <w:p>
      <w:pPr>
        <w:ind w:right="80" w:firstLine="1983"/>
        <w:spacing w:after="0" w:line="239" w:lineRule="auto"/>
        <w:rPr>
          <w:sz w:val="20"/>
          <w:szCs w:val="20"/>
          <w:color w:val="auto"/>
        </w:rPr>
      </w:pPr>
      <w:r>
        <w:rPr>
          <w:rFonts w:ascii="Arial" w:cs="Arial" w:eastAsia="Arial" w:hAnsi="Arial"/>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69" w:right="459" w:bottom="1440" w:gutter="0" w:footer="0" w:header="0"/>
        </w:sectPr>
      </w:pPr>
    </w:p>
    <w:bookmarkStart w:id="87" w:name="page88"/>
    <w:bookmarkEnd w:id="87"/>
    <w:p>
      <w:pPr>
        <w:ind w:right="20" w:firstLine="1983"/>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Exercising an Option in any manner will decrease the number of Shares thereafter available, both for purposes of the Plan and for sale under the Option, by the number of Shares as to which the Option is exercised.</w:t>
      </w:r>
    </w:p>
    <w:p>
      <w:pPr>
        <w:spacing w:after="0" w:line="154" w:lineRule="exact"/>
        <w:rPr>
          <w:sz w:val="20"/>
          <w:szCs w:val="20"/>
          <w:color w:val="auto"/>
        </w:rPr>
      </w:pPr>
    </w:p>
    <w:p>
      <w:pPr>
        <w:ind w:right="60" w:firstLine="1428"/>
        <w:spacing w:after="0"/>
        <w:tabs>
          <w:tab w:leader="none" w:pos="1832"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0" w:lineRule="exact"/>
        <w:rPr>
          <w:rFonts w:ascii="Arial" w:cs="Arial" w:eastAsia="Arial" w:hAnsi="Arial"/>
          <w:sz w:val="18"/>
          <w:szCs w:val="18"/>
          <w:color w:val="auto"/>
        </w:rPr>
      </w:pPr>
    </w:p>
    <w:p>
      <w:pPr>
        <w:ind w:right="20" w:firstLine="1428"/>
        <w:spacing w:after="0"/>
        <w:tabs>
          <w:tab w:leader="none" w:pos="1872"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0" w:lineRule="exact"/>
        <w:rPr>
          <w:rFonts w:ascii="Arial" w:cs="Arial" w:eastAsia="Arial" w:hAnsi="Arial"/>
          <w:sz w:val="18"/>
          <w:szCs w:val="18"/>
          <w:color w:val="auto"/>
        </w:rPr>
      </w:pPr>
    </w:p>
    <w:p>
      <w:pPr>
        <w:ind w:firstLine="1428"/>
        <w:spacing w:after="0" w:line="238" w:lineRule="auto"/>
        <w:tabs>
          <w:tab w:leader="none" w:pos="1882"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5" w:lineRule="exact"/>
        <w:rPr>
          <w:rFonts w:ascii="Arial" w:cs="Arial" w:eastAsia="Arial" w:hAnsi="Arial"/>
          <w:sz w:val="18"/>
          <w:szCs w:val="18"/>
          <w:color w:val="auto"/>
        </w:rPr>
      </w:pPr>
    </w:p>
    <w:p>
      <w:pPr>
        <w:ind w:left="780" w:hanging="344"/>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180" w:firstLine="987"/>
        <w:spacing w:after="0" w:line="253" w:lineRule="auto"/>
        <w:tabs>
          <w:tab w:leader="none" w:pos="141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8" w:lineRule="exact"/>
        <w:rPr>
          <w:rFonts w:ascii="Arial" w:cs="Arial" w:eastAsia="Arial" w:hAnsi="Arial"/>
          <w:sz w:val="18"/>
          <w:szCs w:val="18"/>
          <w:color w:val="auto"/>
        </w:rPr>
      </w:pPr>
    </w:p>
    <w:p>
      <w:pPr>
        <w:ind w:firstLine="987"/>
        <w:spacing w:after="0" w:line="247" w:lineRule="auto"/>
        <w:tabs>
          <w:tab w:leader="none" w:pos="141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69" w:right="459" w:bottom="1440" w:gutter="0" w:footer="0" w:header="0"/>
        </w:sectPr>
      </w:pPr>
    </w:p>
    <w:bookmarkStart w:id="88" w:name="page89"/>
    <w:bookmarkEnd w:id="88"/>
    <w:p>
      <w:pPr>
        <w:ind w:right="380" w:firstLine="987"/>
        <w:spacing w:after="0" w:line="271" w:lineRule="auto"/>
        <w:tabs>
          <w:tab w:leader="none" w:pos="140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Transferability</w:t>
      </w:r>
      <w:r>
        <w:rPr>
          <w:rFonts w:ascii="Arial" w:cs="Arial" w:eastAsia="Arial" w:hAnsi="Arial"/>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53" w:lineRule="exact"/>
        <w:rPr>
          <w:rFonts w:ascii="Arial" w:cs="Arial" w:eastAsia="Arial" w:hAnsi="Arial"/>
          <w:sz w:val="18"/>
          <w:szCs w:val="18"/>
          <w:color w:val="auto"/>
        </w:rPr>
      </w:pPr>
    </w:p>
    <w:p>
      <w:pPr>
        <w:ind w:right="160" w:firstLine="987"/>
        <w:spacing w:after="0" w:line="271" w:lineRule="auto"/>
        <w:tabs>
          <w:tab w:leader="none" w:pos="14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3" w:lineRule="exact"/>
        <w:rPr>
          <w:rFonts w:ascii="Arial" w:cs="Arial" w:eastAsia="Arial" w:hAnsi="Arial"/>
          <w:sz w:val="18"/>
          <w:szCs w:val="18"/>
          <w:color w:val="auto"/>
        </w:rPr>
      </w:pPr>
    </w:p>
    <w:p>
      <w:pPr>
        <w:ind w:right="60" w:firstLine="987"/>
        <w:spacing w:after="0" w:line="247" w:lineRule="auto"/>
        <w:tabs>
          <w:tab w:leader="none" w:pos="14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3" w:lineRule="exact"/>
        <w:rPr>
          <w:rFonts w:ascii="Arial" w:cs="Arial" w:eastAsia="Arial" w:hAnsi="Arial"/>
          <w:sz w:val="18"/>
          <w:szCs w:val="18"/>
          <w:color w:val="auto"/>
        </w:rPr>
      </w:pPr>
    </w:p>
    <w:p>
      <w:pPr>
        <w:ind w:right="140" w:firstLine="987"/>
        <w:spacing w:after="0" w:line="271" w:lineRule="auto"/>
        <w:tabs>
          <w:tab w:leader="none" w:pos="136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3" w:lineRule="exact"/>
        <w:rPr>
          <w:rFonts w:ascii="Arial" w:cs="Arial" w:eastAsia="Arial" w:hAnsi="Arial"/>
          <w:sz w:val="18"/>
          <w:szCs w:val="18"/>
          <w:color w:val="auto"/>
        </w:rPr>
      </w:pPr>
    </w:p>
    <w:p>
      <w:pPr>
        <w:ind w:firstLine="987"/>
        <w:spacing w:after="0" w:line="247" w:lineRule="auto"/>
        <w:tabs>
          <w:tab w:leader="none" w:pos="14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3" w:lineRule="exact"/>
        <w:rPr>
          <w:rFonts w:ascii="Arial" w:cs="Arial" w:eastAsia="Arial" w:hAnsi="Arial"/>
          <w:sz w:val="18"/>
          <w:szCs w:val="18"/>
          <w:color w:val="auto"/>
        </w:rPr>
      </w:pPr>
    </w:p>
    <w:p>
      <w:pPr>
        <w:ind w:right="280" w:firstLine="987"/>
        <w:spacing w:after="0" w:line="271" w:lineRule="auto"/>
        <w:tabs>
          <w:tab w:leader="none" w:pos="14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53" w:lineRule="exact"/>
        <w:rPr>
          <w:rFonts w:ascii="Arial" w:cs="Arial" w:eastAsia="Arial" w:hAnsi="Arial"/>
          <w:sz w:val="18"/>
          <w:szCs w:val="18"/>
          <w:color w:val="auto"/>
        </w:rPr>
      </w:pPr>
    </w:p>
    <w:p>
      <w:pPr>
        <w:ind w:left="780" w:hanging="344"/>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987"/>
        <w:spacing w:after="0" w:line="253" w:lineRule="auto"/>
        <w:tabs>
          <w:tab w:leader="none" w:pos="141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68" w:lineRule="exact"/>
        <w:rPr>
          <w:rFonts w:ascii="Arial" w:cs="Arial" w:eastAsia="Arial" w:hAnsi="Arial"/>
          <w:sz w:val="18"/>
          <w:szCs w:val="18"/>
          <w:color w:val="auto"/>
        </w:rPr>
      </w:pPr>
    </w:p>
    <w:p>
      <w:pPr>
        <w:ind w:right="200" w:firstLine="987"/>
        <w:spacing w:after="0" w:line="244" w:lineRule="auto"/>
        <w:tabs>
          <w:tab w:leader="none" w:pos="141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rFonts w:ascii="Arial" w:cs="Arial" w:eastAsia="Arial" w:hAnsi="Arial"/>
          <w:sz w:val="18"/>
          <w:szCs w:val="18"/>
          <w:color w:val="auto"/>
        </w:rPr>
      </w:pPr>
    </w:p>
    <w:p>
      <w:pPr>
        <w:ind w:right="160" w:firstLine="987"/>
        <w:spacing w:after="0" w:line="253" w:lineRule="auto"/>
        <w:tabs>
          <w:tab w:leader="none" w:pos="140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68" w:lineRule="exact"/>
        <w:rPr>
          <w:rFonts w:ascii="Arial" w:cs="Arial" w:eastAsia="Arial" w:hAnsi="Arial"/>
          <w:sz w:val="18"/>
          <w:szCs w:val="18"/>
          <w:color w:val="auto"/>
        </w:rPr>
      </w:pPr>
    </w:p>
    <w:p>
      <w:pPr>
        <w:ind w:right="240" w:firstLine="987"/>
        <w:spacing w:after="0" w:line="253" w:lineRule="auto"/>
        <w:tabs>
          <w:tab w:leader="none" w:pos="141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68" w:lineRule="exact"/>
        <w:rPr>
          <w:rFonts w:ascii="Arial" w:cs="Arial" w:eastAsia="Arial" w:hAnsi="Arial"/>
          <w:sz w:val="18"/>
          <w:szCs w:val="18"/>
          <w:color w:val="auto"/>
        </w:rPr>
      </w:pPr>
    </w:p>
    <w:p>
      <w:pPr>
        <w:ind w:left="1400" w:hanging="413"/>
        <w:spacing w:after="0"/>
        <w:tabs>
          <w:tab w:leader="none" w:pos="14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69" w:right="459" w:bottom="1440" w:gutter="0" w:footer="0" w:header="0"/>
        </w:sectPr>
      </w:pPr>
    </w:p>
    <w:bookmarkStart w:id="89" w:name="page90"/>
    <w:bookmarkEnd w:id="89"/>
    <w:p>
      <w:pPr>
        <w:ind w:left="780" w:hanging="344"/>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Appreciation Rights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40" w:firstLine="987"/>
        <w:spacing w:after="0" w:line="271" w:lineRule="auto"/>
        <w:tabs>
          <w:tab w:leader="none" w:pos="14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53" w:lineRule="exact"/>
        <w:rPr>
          <w:rFonts w:ascii="Arial" w:cs="Arial" w:eastAsia="Arial" w:hAnsi="Arial"/>
          <w:sz w:val="18"/>
          <w:szCs w:val="18"/>
          <w:color w:val="auto"/>
        </w:rPr>
      </w:pPr>
    </w:p>
    <w:p>
      <w:pPr>
        <w:ind w:right="400" w:firstLine="987"/>
        <w:spacing w:after="0" w:line="271" w:lineRule="auto"/>
        <w:tabs>
          <w:tab w:leader="none" w:pos="14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3" w:lineRule="exact"/>
        <w:rPr>
          <w:rFonts w:ascii="Arial" w:cs="Arial" w:eastAsia="Arial" w:hAnsi="Arial"/>
          <w:sz w:val="18"/>
          <w:szCs w:val="18"/>
          <w:color w:val="auto"/>
        </w:rPr>
      </w:pPr>
    </w:p>
    <w:p>
      <w:pPr>
        <w:ind w:right="40" w:firstLine="987"/>
        <w:spacing w:after="0" w:line="247" w:lineRule="auto"/>
        <w:tabs>
          <w:tab w:leader="none" w:pos="140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3" w:lineRule="exact"/>
        <w:rPr>
          <w:rFonts w:ascii="Arial" w:cs="Arial" w:eastAsia="Arial" w:hAnsi="Arial"/>
          <w:sz w:val="18"/>
          <w:szCs w:val="18"/>
          <w:color w:val="auto"/>
        </w:rPr>
      </w:pPr>
    </w:p>
    <w:p>
      <w:pPr>
        <w:ind w:right="180" w:firstLine="987"/>
        <w:spacing w:after="0" w:line="253" w:lineRule="auto"/>
        <w:tabs>
          <w:tab w:leader="none" w:pos="14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8" w:lineRule="exact"/>
        <w:rPr>
          <w:rFonts w:ascii="Arial" w:cs="Arial" w:eastAsia="Arial" w:hAnsi="Arial"/>
          <w:sz w:val="18"/>
          <w:szCs w:val="18"/>
          <w:color w:val="auto"/>
        </w:rPr>
      </w:pPr>
    </w:p>
    <w:p>
      <w:pPr>
        <w:ind w:right="120" w:firstLine="987"/>
        <w:spacing w:after="0" w:line="253" w:lineRule="auto"/>
        <w:tabs>
          <w:tab w:leader="none" w:pos="14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68" w:lineRule="exact"/>
        <w:rPr>
          <w:rFonts w:ascii="Arial" w:cs="Arial" w:eastAsia="Arial" w:hAnsi="Arial"/>
          <w:sz w:val="18"/>
          <w:szCs w:val="18"/>
          <w:color w:val="auto"/>
        </w:rPr>
      </w:pPr>
    </w:p>
    <w:p>
      <w:pPr>
        <w:ind w:right="40" w:firstLine="987"/>
        <w:spacing w:after="0" w:line="271" w:lineRule="auto"/>
        <w:tabs>
          <w:tab w:leader="none" w:pos="136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53" w:lineRule="exact"/>
        <w:rPr>
          <w:rFonts w:ascii="Arial" w:cs="Arial" w:eastAsia="Arial" w:hAnsi="Arial"/>
          <w:sz w:val="18"/>
          <w:szCs w:val="18"/>
          <w:color w:val="auto"/>
        </w:rPr>
      </w:pPr>
    </w:p>
    <w:p>
      <w:pPr>
        <w:ind w:left="1780" w:hanging="352"/>
        <w:spacing w:after="0"/>
        <w:tabs>
          <w:tab w:leader="none" w:pos="17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11" w:lineRule="exact"/>
        <w:rPr>
          <w:rFonts w:ascii="Arial" w:cs="Arial" w:eastAsia="Arial" w:hAnsi="Arial"/>
          <w:sz w:val="18"/>
          <w:szCs w:val="18"/>
          <w:color w:val="auto"/>
        </w:rPr>
      </w:pPr>
    </w:p>
    <w:p>
      <w:pPr>
        <w:ind w:left="1820" w:hanging="392"/>
        <w:spacing w:after="0"/>
        <w:tabs>
          <w:tab w:leader="none" w:pos="18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12"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54" w:lineRule="exact"/>
        <w:rPr>
          <w:sz w:val="20"/>
          <w:szCs w:val="20"/>
          <w:color w:val="auto"/>
        </w:rPr>
      </w:pPr>
    </w:p>
    <w:p>
      <w:pPr>
        <w:ind w:left="880" w:hanging="44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right="60" w:firstLine="987"/>
        <w:spacing w:after="0" w:line="253" w:lineRule="auto"/>
        <w:tabs>
          <w:tab w:leader="none" w:pos="141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68" w:lineRule="exact"/>
        <w:rPr>
          <w:rFonts w:ascii="Arial" w:cs="Arial" w:eastAsia="Arial" w:hAnsi="Arial"/>
          <w:sz w:val="18"/>
          <w:szCs w:val="18"/>
          <w:color w:val="auto"/>
        </w:rPr>
      </w:pPr>
    </w:p>
    <w:p>
      <w:pPr>
        <w:ind w:right="60" w:firstLine="987"/>
        <w:spacing w:after="0" w:line="253" w:lineRule="auto"/>
        <w:tabs>
          <w:tab w:leader="none" w:pos="141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8" w:lineRule="exact"/>
        <w:rPr>
          <w:rFonts w:ascii="Arial" w:cs="Arial" w:eastAsia="Arial" w:hAnsi="Arial"/>
          <w:sz w:val="18"/>
          <w:szCs w:val="18"/>
          <w:color w:val="auto"/>
        </w:rPr>
      </w:pPr>
    </w:p>
    <w:p>
      <w:pPr>
        <w:ind w:firstLine="987"/>
        <w:spacing w:after="0" w:line="253" w:lineRule="auto"/>
        <w:tabs>
          <w:tab w:leader="none" w:pos="140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880"/>
          </w:cols>
          <w:pgMar w:left="440" w:top="269" w:right="579" w:bottom="1440" w:gutter="0" w:footer="0" w:header="0"/>
        </w:sectPr>
      </w:pPr>
    </w:p>
    <w:bookmarkStart w:id="90" w:name="page91"/>
    <w:bookmarkEnd w:id="90"/>
    <w:p>
      <w:pPr>
        <w:ind w:right="12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ind w:right="40" w:firstLine="987"/>
        <w:spacing w:after="0" w:line="244" w:lineRule="auto"/>
        <w:tabs>
          <w:tab w:leader="none" w:pos="141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76" w:lineRule="exact"/>
        <w:rPr>
          <w:rFonts w:ascii="Arial" w:cs="Arial" w:eastAsia="Arial" w:hAnsi="Arial"/>
          <w:sz w:val="18"/>
          <w:szCs w:val="18"/>
          <w:color w:val="auto"/>
        </w:rPr>
      </w:pPr>
    </w:p>
    <w:p>
      <w:pPr>
        <w:jc w:val="both"/>
        <w:ind w:right="40" w:firstLine="987"/>
        <w:spacing w:after="0" w:line="247" w:lineRule="auto"/>
        <w:tabs>
          <w:tab w:leader="none" w:pos="141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3" w:lineRule="exact"/>
        <w:rPr>
          <w:rFonts w:ascii="Arial" w:cs="Arial" w:eastAsia="Arial" w:hAnsi="Arial"/>
          <w:sz w:val="18"/>
          <w:szCs w:val="18"/>
          <w:color w:val="auto"/>
        </w:rPr>
      </w:pPr>
    </w:p>
    <w:p>
      <w:pPr>
        <w:ind w:right="460" w:firstLine="987"/>
        <w:spacing w:after="0" w:line="271" w:lineRule="auto"/>
        <w:tabs>
          <w:tab w:leader="none" w:pos="136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53" w:lineRule="exact"/>
        <w:rPr>
          <w:rFonts w:ascii="Arial" w:cs="Arial" w:eastAsia="Arial" w:hAnsi="Arial"/>
          <w:sz w:val="18"/>
          <w:szCs w:val="18"/>
          <w:color w:val="auto"/>
        </w:rPr>
      </w:pPr>
    </w:p>
    <w:p>
      <w:pPr>
        <w:ind w:right="260" w:firstLine="436"/>
        <w:spacing w:after="0"/>
        <w:tabs>
          <w:tab w:leader="none" w:pos="87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84" w:lineRule="exact"/>
        <w:rPr>
          <w:rFonts w:ascii="Arial" w:cs="Arial" w:eastAsia="Arial" w:hAnsi="Arial"/>
          <w:sz w:val="18"/>
          <w:szCs w:val="18"/>
          <w:color w:val="auto"/>
        </w:rPr>
      </w:pPr>
    </w:p>
    <w:p>
      <w:pPr>
        <w:ind w:right="60" w:firstLine="436"/>
        <w:spacing w:after="0" w:line="247" w:lineRule="auto"/>
        <w:tabs>
          <w:tab w:leader="none" w:pos="89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3" w:lineRule="exact"/>
        <w:rPr>
          <w:rFonts w:ascii="Arial" w:cs="Arial" w:eastAsia="Arial" w:hAnsi="Arial"/>
          <w:sz w:val="18"/>
          <w:szCs w:val="18"/>
          <w:color w:val="auto"/>
        </w:rPr>
      </w:pPr>
    </w:p>
    <w:p>
      <w:pPr>
        <w:ind w:left="880" w:hanging="44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987"/>
        <w:spacing w:after="0" w:line="244" w:lineRule="auto"/>
        <w:tabs>
          <w:tab w:leader="none" w:pos="1411"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440" w:top="269" w:right="499" w:bottom="1440" w:gutter="0" w:footer="0" w:header="0"/>
        </w:sectPr>
      </w:pPr>
    </w:p>
    <w:bookmarkStart w:id="91" w:name="page92"/>
    <w:bookmarkEnd w:id="91"/>
    <w:p>
      <w:pPr>
        <w:ind w:right="1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 of Shares that may be delivered under the Plan and/or the number, class, and price of Shares covered by each outstanding Award, and the numerical Share limits in Section 3 of the Plan.</w:t>
      </w:r>
    </w:p>
    <w:p>
      <w:pPr>
        <w:spacing w:after="0" w:line="154" w:lineRule="exact"/>
        <w:rPr>
          <w:sz w:val="20"/>
          <w:szCs w:val="20"/>
          <w:color w:val="auto"/>
        </w:rPr>
      </w:pPr>
    </w:p>
    <w:p>
      <w:pPr>
        <w:ind w:right="220" w:firstLine="987"/>
        <w:spacing w:after="0" w:line="253" w:lineRule="auto"/>
        <w:tabs>
          <w:tab w:leader="none" w:pos="141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8" w:lineRule="exact"/>
        <w:rPr>
          <w:rFonts w:ascii="Arial" w:cs="Arial" w:eastAsia="Arial" w:hAnsi="Arial"/>
          <w:sz w:val="18"/>
          <w:szCs w:val="18"/>
          <w:color w:val="auto"/>
        </w:rPr>
      </w:pPr>
    </w:p>
    <w:p>
      <w:pPr>
        <w:ind w:right="100" w:firstLine="987"/>
        <w:spacing w:after="0" w:line="247" w:lineRule="auto"/>
        <w:tabs>
          <w:tab w:leader="none" w:pos="140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74"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right="40" w:firstLine="991"/>
        <w:spacing w:after="0" w:line="239" w:lineRule="auto"/>
        <w:rPr>
          <w:sz w:val="20"/>
          <w:szCs w:val="20"/>
          <w:color w:val="auto"/>
        </w:rPr>
      </w:pPr>
      <w:r>
        <w:rPr>
          <w:rFonts w:ascii="Arial" w:cs="Arial" w:eastAsia="Arial" w:hAnsi="Arial"/>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0" w:lineRule="exact"/>
        <w:rPr>
          <w:sz w:val="20"/>
          <w:szCs w:val="20"/>
          <w:color w:val="auto"/>
        </w:rPr>
      </w:pPr>
    </w:p>
    <w:p>
      <w:pPr>
        <w:ind w:right="60" w:firstLine="991"/>
        <w:spacing w:after="0" w:line="266"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59" w:lineRule="exact"/>
        <w:rPr>
          <w:sz w:val="20"/>
          <w:szCs w:val="20"/>
          <w:color w:val="auto"/>
        </w:rPr>
      </w:pPr>
    </w:p>
    <w:p>
      <w:pPr>
        <w:ind w:right="80" w:firstLine="987"/>
        <w:spacing w:after="0" w:line="247" w:lineRule="auto"/>
        <w:tabs>
          <w:tab w:leader="none" w:pos="14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69" w:right="459" w:bottom="1440" w:gutter="0" w:footer="0" w:header="0"/>
        </w:sectPr>
      </w:pPr>
    </w:p>
    <w:bookmarkStart w:id="92" w:name="page93"/>
    <w:bookmarkEnd w:id="92"/>
    <w:p>
      <w:pPr>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74" w:lineRule="exact"/>
        <w:rPr>
          <w:sz w:val="20"/>
          <w:szCs w:val="20"/>
          <w:color w:val="auto"/>
        </w:rPr>
      </w:pPr>
    </w:p>
    <w:p>
      <w:pPr>
        <w:ind w:left="880" w:hanging="44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360" w:firstLine="987"/>
        <w:spacing w:after="0" w:line="247" w:lineRule="auto"/>
        <w:tabs>
          <w:tab w:leader="none" w:pos="141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3" w:lineRule="exact"/>
        <w:rPr>
          <w:rFonts w:ascii="Arial" w:cs="Arial" w:eastAsia="Arial" w:hAnsi="Arial"/>
          <w:sz w:val="18"/>
          <w:szCs w:val="18"/>
          <w:color w:val="auto"/>
        </w:rPr>
      </w:pPr>
    </w:p>
    <w:p>
      <w:pPr>
        <w:ind w:right="60" w:firstLine="987"/>
        <w:spacing w:after="0" w:line="242" w:lineRule="auto"/>
        <w:tabs>
          <w:tab w:leader="none" w:pos="141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78" w:lineRule="exact"/>
        <w:rPr>
          <w:rFonts w:ascii="Arial" w:cs="Arial" w:eastAsia="Arial" w:hAnsi="Arial"/>
          <w:sz w:val="18"/>
          <w:szCs w:val="18"/>
          <w:color w:val="auto"/>
        </w:rPr>
      </w:pPr>
    </w:p>
    <w:p>
      <w:pPr>
        <w:ind w:right="100" w:firstLine="987"/>
        <w:spacing w:after="0"/>
        <w:tabs>
          <w:tab w:leader="none" w:pos="140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0" w:lineRule="exact"/>
        <w:rPr>
          <w:rFonts w:ascii="Arial" w:cs="Arial" w:eastAsia="Arial" w:hAnsi="Arial"/>
          <w:sz w:val="18"/>
          <w:szCs w:val="18"/>
          <w:color w:val="auto"/>
        </w:rPr>
      </w:pPr>
    </w:p>
    <w:p>
      <w:pPr>
        <w:jc w:val="both"/>
        <w:ind w:right="120" w:firstLine="436"/>
        <w:spacing w:after="0" w:line="275" w:lineRule="auto"/>
        <w:tabs>
          <w:tab w:leader="none" w:pos="89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51" w:lineRule="exact"/>
        <w:rPr>
          <w:rFonts w:ascii="Arial" w:cs="Arial" w:eastAsia="Arial" w:hAnsi="Arial"/>
          <w:sz w:val="17"/>
          <w:szCs w:val="17"/>
          <w:color w:val="auto"/>
        </w:rPr>
      </w:pPr>
    </w:p>
    <w:p>
      <w:pPr>
        <w:ind w:right="420" w:firstLine="436"/>
        <w:spacing w:after="0" w:line="253" w:lineRule="auto"/>
        <w:tabs>
          <w:tab w:leader="none" w:pos="89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8" w:lineRule="exact"/>
        <w:rPr>
          <w:rFonts w:ascii="Arial" w:cs="Arial" w:eastAsia="Arial" w:hAnsi="Arial"/>
          <w:sz w:val="18"/>
          <w:szCs w:val="18"/>
          <w:color w:val="auto"/>
        </w:rPr>
      </w:pPr>
    </w:p>
    <w:p>
      <w:pPr>
        <w:ind w:right="60" w:firstLine="436"/>
        <w:spacing w:after="0" w:line="271" w:lineRule="auto"/>
        <w:tabs>
          <w:tab w:leader="none" w:pos="89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the Plan will become effective upon the Effective Date. It will continue in effect for a term of ten (10) years from the date adopted by the Board, unless terminated earlier under Section 18 of the Plan.</w:t>
      </w:r>
    </w:p>
    <w:p>
      <w:pPr>
        <w:spacing w:after="0" w:line="153" w:lineRule="exact"/>
        <w:rPr>
          <w:rFonts w:ascii="Arial" w:cs="Arial" w:eastAsia="Arial" w:hAnsi="Arial"/>
          <w:sz w:val="18"/>
          <w:szCs w:val="18"/>
          <w:color w:val="auto"/>
        </w:rPr>
      </w:pPr>
    </w:p>
    <w:p>
      <w:pPr>
        <w:ind w:left="880" w:hanging="44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00" w:hanging="413"/>
        <w:spacing w:after="0"/>
        <w:tabs>
          <w:tab w:leader="none" w:pos="140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440" w:top="269" w:right="499" w:bottom="1440" w:gutter="0" w:footer="0" w:header="0"/>
        </w:sectPr>
      </w:pPr>
    </w:p>
    <w:bookmarkStart w:id="93" w:name="page94"/>
    <w:bookmarkEnd w:id="93"/>
    <w:p>
      <w:pPr>
        <w:ind w:left="-60" w:right="200" w:firstLine="987"/>
        <w:spacing w:after="0" w:line="271" w:lineRule="auto"/>
        <w:tabs>
          <w:tab w:leader="none" w:pos="1351"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53" w:lineRule="exact"/>
        <w:rPr>
          <w:rFonts w:ascii="Arial" w:cs="Arial" w:eastAsia="Arial" w:hAnsi="Arial"/>
          <w:sz w:val="18"/>
          <w:szCs w:val="18"/>
          <w:color w:val="auto"/>
        </w:rPr>
      </w:pPr>
    </w:p>
    <w:p>
      <w:pPr>
        <w:jc w:val="both"/>
        <w:ind w:left="-60" w:right="280" w:firstLine="987"/>
        <w:spacing w:after="0" w:line="247" w:lineRule="auto"/>
        <w:tabs>
          <w:tab w:leader="none" w:pos="1341"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3" w:lineRule="exact"/>
        <w:rPr>
          <w:rFonts w:ascii="Arial" w:cs="Arial" w:eastAsia="Arial" w:hAnsi="Arial"/>
          <w:sz w:val="18"/>
          <w:szCs w:val="18"/>
          <w:color w:val="auto"/>
        </w:rPr>
      </w:pPr>
    </w:p>
    <w:p>
      <w:pPr>
        <w:ind w:left="820" w:hanging="444"/>
        <w:spacing w:after="0"/>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0" w:right="240" w:firstLine="987"/>
        <w:spacing w:after="0" w:line="253" w:lineRule="auto"/>
        <w:tabs>
          <w:tab w:leader="none" w:pos="1351"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68" w:lineRule="exact"/>
        <w:rPr>
          <w:rFonts w:ascii="Arial" w:cs="Arial" w:eastAsia="Arial" w:hAnsi="Arial"/>
          <w:sz w:val="18"/>
          <w:szCs w:val="18"/>
          <w:color w:val="auto"/>
        </w:rPr>
      </w:pPr>
    </w:p>
    <w:p>
      <w:pPr>
        <w:ind w:left="-60" w:right="60" w:firstLine="987"/>
        <w:spacing w:after="0" w:line="247" w:lineRule="auto"/>
        <w:tabs>
          <w:tab w:leader="none" w:pos="1351"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3" w:lineRule="exact"/>
        <w:rPr>
          <w:rFonts w:ascii="Arial" w:cs="Arial" w:eastAsia="Arial" w:hAnsi="Arial"/>
          <w:sz w:val="18"/>
          <w:szCs w:val="18"/>
          <w:color w:val="auto"/>
        </w:rPr>
      </w:pPr>
    </w:p>
    <w:p>
      <w:pPr>
        <w:ind w:left="-60" w:right="80" w:firstLine="436"/>
        <w:spacing w:after="0"/>
        <w:tabs>
          <w:tab w:leader="none" w:pos="83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4" w:lineRule="exact"/>
        <w:rPr>
          <w:rFonts w:ascii="Arial" w:cs="Arial" w:eastAsia="Arial" w:hAnsi="Arial"/>
          <w:sz w:val="18"/>
          <w:szCs w:val="18"/>
          <w:color w:val="auto"/>
        </w:rPr>
      </w:pPr>
    </w:p>
    <w:p>
      <w:pPr>
        <w:ind w:left="-60" w:right="20" w:firstLine="436"/>
        <w:spacing w:after="0" w:line="253" w:lineRule="auto"/>
        <w:tabs>
          <w:tab w:leader="none" w:pos="83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8" w:lineRule="exact"/>
        <w:rPr>
          <w:rFonts w:ascii="Arial" w:cs="Arial" w:eastAsia="Arial" w:hAnsi="Arial"/>
          <w:sz w:val="18"/>
          <w:szCs w:val="18"/>
          <w:color w:val="auto"/>
        </w:rPr>
      </w:pPr>
    </w:p>
    <w:p>
      <w:pPr>
        <w:ind w:left="820" w:hanging="444"/>
        <w:spacing w:after="0"/>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0" w:firstLine="987"/>
        <w:spacing w:after="0" w:line="239" w:lineRule="auto"/>
        <w:tabs>
          <w:tab w:leader="none" w:pos="134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00"/>
          </w:cols>
          <w:pgMar w:left="500" w:top="269" w:right="499" w:bottom="1440" w:gutter="0" w:footer="0" w:header="0"/>
        </w:sectPr>
      </w:pPr>
    </w:p>
    <w:bookmarkStart w:id="94" w:name="page95"/>
    <w:bookmarkEnd w:id="94"/>
    <w:p>
      <w:pPr>
        <w:jc w:val="both"/>
        <w:ind w:left="-80" w:firstLine="987"/>
        <w:spacing w:after="0" w:line="244" w:lineRule="auto"/>
        <w:tabs>
          <w:tab w:leader="none" w:pos="1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840"/>
          </w:cols>
          <w:pgMar w:left="520" w:top="269" w:right="5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Qualys reports its financial results in accordance with generally accepted accounting principles in the United States (“GAAP”).</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However, management believes that certain non-GAAP financial measures provide users with additional meaningful financial information.</w:t>
      </w:r>
    </w:p>
    <w:p>
      <w:pPr>
        <w:spacing w:after="0" w:line="205" w:lineRule="exact"/>
        <w:rPr>
          <w:sz w:val="20"/>
          <w:szCs w:val="20"/>
          <w:color w:val="auto"/>
        </w:rPr>
      </w:pPr>
    </w:p>
    <w:p>
      <w:pPr>
        <w:ind w:right="200" w:firstLine="440"/>
        <w:spacing w:after="0" w:line="242" w:lineRule="auto"/>
        <w:rPr>
          <w:sz w:val="20"/>
          <w:szCs w:val="20"/>
          <w:color w:val="auto"/>
        </w:rPr>
      </w:pPr>
      <w:r>
        <w:rPr>
          <w:rFonts w:ascii="Arial" w:cs="Arial" w:eastAsia="Arial" w:hAnsi="Arial"/>
          <w:sz w:val="18"/>
          <w:szCs w:val="18"/>
          <w:color w:val="auto"/>
        </w:rPr>
        <w:t>The non-GAAP measures presented in this proxy statement include non-GAAP earnings per share (“EPS”), Adjusted EBITDA, and free cash flow per share.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2021, and our subsequent filings with the SEC for additional information about the non-GAAP measures presented herein, including a description of the use of such measures.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Net income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70,960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91,572</w:t>
            </w:r>
          </w:p>
        </w:tc>
        <w:tc>
          <w:tcPr>
            <w:tcW w:w="14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Plus: Stock-based compensation</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67,579</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40,035</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Plus: Amortization of intangible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6,661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6,289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Less: Tax adjustment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(15,927)</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(20,937)</w:t>
            </w: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129,273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116,959</w:t>
            </w: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2.87</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non-GAAP net income per share: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39,030</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39,167</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40,118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40,740</w:t>
            </w:r>
          </w:p>
        </w:tc>
      </w:tr>
      <w:tr>
        <w:trPr>
          <w:trHeight w:val="368"/>
        </w:trPr>
        <w:tc>
          <w:tcPr>
            <w:tcW w:w="9020" w:type="dxa"/>
            <w:vAlign w:val="bottom"/>
          </w:tcPr>
          <w:p>
            <w:pPr>
              <w:ind w:left="5360"/>
              <w:spacing w:after="0"/>
              <w:rPr>
                <w:sz w:val="20"/>
                <w:szCs w:val="20"/>
                <w:color w:val="auto"/>
              </w:rPr>
            </w:pPr>
            <w:r>
              <w:rPr>
                <w:rFonts w:ascii="Arial" w:cs="Arial" w:eastAsia="Arial" w:hAnsi="Arial"/>
                <w:sz w:val="18"/>
                <w:szCs w:val="18"/>
                <w:color w:val="auto"/>
              </w:rPr>
              <w:t>B-1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EBITDA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70,960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29,236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26,556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6,661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18,437</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67,579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40,035</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(1,714)</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191,159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169,534</w:t>
            </w:r>
          </w:p>
        </w:tc>
        <w:tc>
          <w:tcPr>
            <w:tcW w:w="0" w:type="dxa"/>
            <w:vAlign w:val="bottom"/>
          </w:tcPr>
          <w:p>
            <w:pPr>
              <w:spacing w:after="0"/>
              <w:rPr>
                <w:sz w:val="1"/>
                <w:szCs w:val="1"/>
                <w:color w:val="auto"/>
              </w:rPr>
            </w:pPr>
          </w:p>
        </w:tc>
      </w:tr>
      <w:tr>
        <w:trPr>
          <w:trHeight w:val="20"/>
        </w:trPr>
        <w:tc>
          <w:tcPr>
            <w:tcW w:w="9020" w:type="dxa"/>
            <w:vAlign w:val="bottom"/>
            <w:vMerge w:val="restart"/>
          </w:tcPr>
          <w:p>
            <w:pPr>
              <w:jc w:val="center"/>
              <w:ind w:left="1890"/>
              <w:spacing w:after="0"/>
              <w:rPr>
                <w:sz w:val="20"/>
                <w:szCs w:val="20"/>
                <w:color w:val="auto"/>
              </w:rPr>
            </w:pPr>
            <w:r>
              <w:rPr>
                <w:rFonts w:ascii="Arial" w:cs="Arial" w:eastAsia="Arial" w:hAnsi="Arial"/>
                <w:sz w:val="18"/>
                <w:szCs w:val="18"/>
                <w:b w:val="1"/>
                <w:bCs w:val="1"/>
                <w:color w:val="auto"/>
                <w:w w:val="99"/>
              </w:rPr>
              <w:t>FREE CASH FLOW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20" w:type="dxa"/>
            <w:vAlign w:val="bottom"/>
          </w:tcPr>
          <w:p>
            <w:pPr>
              <w:jc w:val="center"/>
              <w:ind w:left="1890"/>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90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9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Cash flows provided by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200,616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180,086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Less: Purchases of property and equipment, net of proceeds from disposal</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(24,418)</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(29,618)</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Principal payments under capital lease obligations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Non-GAAP Free cash flows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176,108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Free cash flow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Weighted average shares used in computing free cash flow per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40,118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40,740</w:t>
            </w:r>
          </w:p>
        </w:tc>
        <w:tc>
          <w:tcPr>
            <w:tcW w:w="0" w:type="dxa"/>
            <w:vAlign w:val="bottom"/>
          </w:tcPr>
          <w:p>
            <w:pPr>
              <w:spacing w:after="0"/>
              <w:rPr>
                <w:sz w:val="1"/>
                <w:szCs w:val="1"/>
                <w:color w:val="auto"/>
              </w:rPr>
            </w:pPr>
          </w:p>
        </w:tc>
      </w:tr>
      <w:tr>
        <w:trPr>
          <w:trHeight w:val="368"/>
        </w:trPr>
        <w:tc>
          <w:tcPr>
            <w:tcW w:w="9020" w:type="dxa"/>
            <w:vAlign w:val="bottom"/>
          </w:tcPr>
          <w:p>
            <w:pPr>
              <w:jc w:val="center"/>
              <w:ind w:left="1890"/>
              <w:spacing w:after="0"/>
              <w:rPr>
                <w:sz w:val="20"/>
                <w:szCs w:val="20"/>
                <w:color w:val="auto"/>
              </w:rPr>
            </w:pPr>
            <w:r>
              <w:rPr>
                <w:rFonts w:ascii="Arial" w:cs="Arial" w:eastAsia="Arial" w:hAnsi="Arial"/>
                <w:sz w:val="18"/>
                <w:szCs w:val="18"/>
                <w:color w:val="auto"/>
                <w:w w:val="99"/>
              </w:rPr>
              <w:t>B-2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650"/>
    </w:lvl>
  </w:abstractNum>
  <w:abstractNum w:abstractNumId="12">
    <w:nsid w:val="354FE9F9"/>
    <w:multiLevelType w:val="hybridMultilevel"/>
    <w:lvl w:ilvl="0">
      <w:lvlJc w:val="left"/>
      <w:lvlText w:val="(%1)"/>
      <w:numFmt w:val="lowerRoman"/>
      <w:start w:val="2"/>
    </w:lvl>
    <w:lvl w:ilvl="1">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3"/>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2"/>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lvl w:ilvl="1">
      <w:lvlJc w:val="left"/>
      <w:lvlText w:val="•"/>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decimal"/>
      <w:start w:val="7"/>
    </w:lvl>
  </w:abstractNum>
  <w:abstractNum w:abstractNumId="52">
    <w:nsid w:val="1A32234B"/>
    <w:multiLevelType w:val="hybridMultilevel"/>
    <w:lvl w:ilvl="0">
      <w:lvlJc w:val="left"/>
      <w:lvlText w:val="(%1)"/>
      <w:numFmt w:val="decimal"/>
      <w:start w:val="1"/>
    </w:lvl>
  </w:abstractNum>
  <w:abstractNum w:abstractNumId="53">
    <w:nsid w:val="3B0FD379"/>
    <w:multiLevelType w:val="hybridMultilevel"/>
    <w:lvl w:ilvl="0">
      <w:lvlJc w:val="left"/>
      <w:lvlText w:val="(%1)"/>
      <w:numFmt w:val="decimal"/>
      <w:start w:val="6"/>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8"/>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2"/>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1"/>
    </w:lvl>
    <w:lvl w:ilvl="1">
      <w:lvlJc w:val="left"/>
      <w:lvlText w:val="•"/>
      <w:numFmt w:val="bullet"/>
      <w:start w:val="1"/>
    </w:lvl>
  </w:abstractNum>
  <w:abstractNum w:abstractNumId="69">
    <w:nsid w:val="4C04A8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0">
    <w:nsid w:val="1716703B"/>
    <w:multiLevelType w:val="hybridMultilevel"/>
    <w:lvl w:ilvl="0">
      <w:lvlJc w:val="left"/>
      <w:lvlText w:val="%1"/>
      <w:numFmt w:val="decimal"/>
      <w:start w:val="1"/>
    </w:lvl>
    <w:lvl w:ilvl="1">
      <w:lvlJc w:val="left"/>
      <w:lvlText w:val="(%2)"/>
      <w:numFmt w:val="lowerRoman"/>
      <w:start w:val="3"/>
    </w:lvl>
  </w:abstractNum>
  <w:abstractNum w:abstractNumId="71">
    <w:nsid w:val="14E17E33"/>
    <w:multiLevelType w:val="hybridMultilevel"/>
    <w:lvl w:ilvl="0">
      <w:lvlJc w:val="left"/>
      <w:lvlText w:val="(%1)"/>
      <w:numFmt w:val="decimal"/>
      <w:start w:val="3"/>
    </w:lvl>
    <w:lvl w:ilvl="1">
      <w:lvlJc w:val="left"/>
      <w:lvlText w:val="%2"/>
      <w:numFmt w:val="lowerRoman"/>
      <w:start w:val="1"/>
    </w:lvl>
  </w:abstractNum>
  <w:abstractNum w:abstractNumId="72">
    <w:nsid w:val="3222E7CD"/>
    <w:multiLevelType w:val="hybridMultilevel"/>
    <w:lvl w:ilvl="0">
      <w:lvlJc w:val="left"/>
      <w:lvlText w:val="(%1)"/>
      <w:numFmt w:val="lowerLetter"/>
      <w:start w:val="7"/>
    </w:lvl>
  </w:abstractNum>
  <w:abstractNum w:abstractNumId="73">
    <w:nsid w:val="74DE0EE3"/>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74">
    <w:nsid w:val="68EBC550"/>
    <w:multiLevelType w:val="hybridMultilevel"/>
    <w:lvl w:ilvl="0">
      <w:lvlJc w:val="left"/>
      <w:lvlText w:val="(%1)"/>
      <w:numFmt w:val="lowerLetter"/>
      <w:start w:val="35"/>
    </w:lvl>
    <w:lvl w:ilvl="1">
      <w:lvlJc w:val="left"/>
      <w:lvlText w:val="(%2)"/>
      <w:numFmt w:val="lowerLetter"/>
      <w:start w:val="18"/>
    </w:lvl>
    <w:lvl w:ilvl="2">
      <w:lvlJc w:val="left"/>
      <w:lvlText w:val="(%3)"/>
      <w:numFmt w:val="lowerRoman"/>
      <w:start w:val="1"/>
    </w:lvl>
  </w:abstractNum>
  <w:abstractNum w:abstractNumId="75">
    <w:nsid w:val="2DF6D648"/>
    <w:multiLevelType w:val="hybridMultilevel"/>
    <w:lvl w:ilvl="0">
      <w:lvlJc w:val="left"/>
      <w:lvlText w:val="(%1)"/>
      <w:numFmt w:val="lowerLetter"/>
      <w:start w:val="21"/>
    </w:lvl>
  </w:abstractNum>
  <w:abstractNum w:abstractNumId="76">
    <w:nsid w:val="46B7D447"/>
    <w:multiLevelType w:val="hybridMultilevel"/>
    <w:lvl w:ilvl="0">
      <w:lvlJc w:val="left"/>
      <w:lvlText w:val="(%1)"/>
      <w:numFmt w:val="lowerLetter"/>
      <w:start w:val="25"/>
    </w:lvl>
  </w:abstractNum>
  <w:abstractNum w:abstractNumId="77">
    <w:nsid w:val="4A2AC315"/>
    <w:multiLevelType w:val="hybridMultilevel"/>
    <w:lvl w:ilvl="0">
      <w:lvlJc w:val="left"/>
      <w:lvlText w:val="%1"/>
      <w:numFmt w:val="decimal"/>
      <w:start w:val="1"/>
    </w:lvl>
    <w:lvl w:ilvl="1">
      <w:lvlJc w:val="left"/>
      <w:lvlText w:val="(%2)"/>
      <w:numFmt w:val="lowerLetter"/>
      <w:start w:val="27"/>
    </w:lvl>
  </w:abstractNum>
  <w:abstractNum w:abstractNumId="78">
    <w:nsid w:val="39EE015C"/>
    <w:multiLevelType w:val="hybridMultilevel"/>
    <w:lvl w:ilvl="0">
      <w:lvlJc w:val="left"/>
      <w:lvlText w:val="%1."/>
      <w:numFmt w:val="decimal"/>
      <w:start w:val="3"/>
    </w:lvl>
    <w:lvl w:ilvl="1">
      <w:lvlJc w:val="left"/>
      <w:lvlText w:val="(%2)"/>
      <w:numFmt w:val="lowerLetter"/>
      <w:start w:val="1"/>
    </w:lvl>
  </w:abstractNum>
  <w:abstractNum w:abstractNumId="79">
    <w:nsid w:val="57FC4FB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0">
    <w:nsid w:val="CC1016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1">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2">
    <w:nsid w:val="60EF011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26F324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7F0157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85">
    <w:nsid w:val="49DA307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6">
    <w:nsid w:val="7055A5F5"/>
    <w:multiLevelType w:val="hybridMultilevel"/>
    <w:lvl w:ilvl="0">
      <w:lvlJc w:val="left"/>
      <w:lvlText w:val="(%1)"/>
      <w:numFmt w:val="upperLetter"/>
      <w:start w:val="1"/>
    </w:lvl>
  </w:abstractNum>
  <w:abstractNum w:abstractNumId="87">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88">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89">
    <w:nsid w:val="488AC1A"/>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90">
    <w:nsid w:val="5FB8011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1">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2">
    <w:nsid w:val="7672BD2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3">
    <w:nsid w:val="6FC75AF8"/>
    <w:multiLevelType w:val="hybridMultilevel"/>
    <w:lvl w:ilvl="0">
      <w:lvlJc w:val="left"/>
      <w:lvlText w:val="%1"/>
      <w:numFmt w:val="decimal"/>
      <w:start w:val="1"/>
    </w:lvl>
    <w:lvl w:ilvl="1">
      <w:lvlJc w:val="left"/>
      <w:lvlText w:val="(%2)"/>
      <w:numFmt w:val="lowerLetter"/>
      <w:start w:val="3"/>
    </w:lvl>
  </w:abstractNum>
  <w:abstractNum w:abstractNumId="94">
    <w:nsid w:val="6A5F7029"/>
    <w:multiLevelType w:val="hybridMultilevel"/>
    <w:lvl w:ilvl="0">
      <w:lvlJc w:val="left"/>
      <w:lvlText w:val="%1."/>
      <w:numFmt w:val="decimal"/>
      <w:start w:val="8"/>
    </w:lvl>
    <w:lvl w:ilvl="1">
      <w:lvlJc w:val="left"/>
      <w:lvlText w:val="(%2)"/>
      <w:numFmt w:val="lowerLetter"/>
      <w:start w:val="1"/>
    </w:lvl>
  </w:abstractNum>
  <w:abstractNum w:abstractNumId="95">
    <w:nsid w:val="7D5E18F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6">
    <w:nsid w:val="5F3534A4"/>
    <w:multiLevelType w:val="hybridMultilevel"/>
    <w:lvl w:ilvl="0">
      <w:lvlJc w:val="left"/>
      <w:lvlText w:val="%1."/>
      <w:numFmt w:val="decimal"/>
      <w:start w:val="10"/>
    </w:lvl>
    <w:lvl w:ilvl="1">
      <w:lvlJc w:val="left"/>
      <w:lvlText w:val="(%2)"/>
      <w:numFmt w:val="lowerLetter"/>
      <w:start w:val="1"/>
    </w:lvl>
  </w:abstractNum>
  <w:abstractNum w:abstractNumId="97">
    <w:nsid w:val="73A1821B"/>
    <w:multiLevelType w:val="hybridMultilevel"/>
    <w:lvl w:ilvl="0">
      <w:lvlJc w:val="left"/>
      <w:lvlText w:val="%1"/>
      <w:numFmt w:val="decimal"/>
      <w:start w:val="1"/>
    </w:lvl>
    <w:lvl w:ilvl="1">
      <w:lvlJc w:val="left"/>
      <w:lvlText w:val="(%2)"/>
      <w:numFmt w:val="lowerLetter"/>
      <w:start w:val="4"/>
    </w:lvl>
  </w:abstractNum>
  <w:abstractNum w:abstractNumId="98">
    <w:nsid w:val="7DE67713"/>
    <w:multiLevelType w:val="hybridMultilevel"/>
    <w:lvl w:ilvl="0">
      <w:lvlJc w:val="left"/>
      <w:lvlText w:val="%1."/>
      <w:numFmt w:val="decimal"/>
      <w:start w:val="11"/>
    </w:lvl>
    <w:lvl w:ilvl="1">
      <w:lvlJc w:val="left"/>
      <w:lvlText w:val="(%2)"/>
      <w:numFmt w:val="lowerLetter"/>
      <w:start w:val="1"/>
    </w:lvl>
  </w:abstractNum>
  <w:abstractNum w:abstractNumId="99">
    <w:nsid w:val="555C55B5"/>
    <w:multiLevelType w:val="hybridMultilevel"/>
    <w:lvl w:ilvl="0">
      <w:lvlJc w:val="left"/>
      <w:lvlText w:val="(%1)"/>
      <w:numFmt w:val="lowerLetter"/>
      <w:start w:val="2"/>
    </w:lvl>
  </w:abstractNum>
  <w:abstractNum w:abstractNumId="100">
    <w:nsid w:val="3FA62ACA"/>
    <w:multiLevelType w:val="hybridMultilevel"/>
    <w:lvl w:ilvl="0">
      <w:lvlJc w:val="left"/>
      <w:lvlText w:val="(%1)"/>
      <w:numFmt w:val="lowerLetter"/>
      <w:start w:val="4"/>
    </w:lvl>
  </w:abstractNum>
  <w:abstractNum w:abstractNumId="101">
    <w:nsid w:val="14FCE74E"/>
    <w:multiLevelType w:val="hybridMultilevel"/>
    <w:lvl w:ilvl="0">
      <w:lvlJc w:val="left"/>
      <w:lvlText w:val="%1."/>
      <w:numFmt w:val="decimal"/>
      <w:start w:val="14"/>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2"/>
    </w:lvl>
  </w:abstractNum>
  <w:abstractNum w:abstractNumId="103">
    <w:nsid w:val="71C91298"/>
    <w:multiLevelType w:val="hybridMultilevel"/>
    <w:lvl w:ilvl="0">
      <w:lvlJc w:val="left"/>
      <w:lvlText w:val="%1."/>
      <w:numFmt w:val="decimal"/>
      <w:start w:val="19"/>
    </w:lvl>
    <w:lvl w:ilvl="1">
      <w:lvlJc w:val="left"/>
      <w:lvlText w:val="(%2)"/>
      <w:numFmt w:val="lowerLetter"/>
      <w:start w:val="1"/>
    </w:lvl>
  </w:abstractNum>
  <w:abstractNum w:abstractNumId="104">
    <w:nsid w:val="9DAF6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2022-04-21T15:07:07Z</dcterms:created>
  <dcterms:modified xsi:type="dcterms:W3CDTF">2022-04-21T15:07:07Z</dcterms:modified>
</cp:coreProperties>
</file>