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March 31, 2017</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296"/>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6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2017 was 37,033,292.</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March</w:t>
            </w:r>
            <w:r>
              <w:rPr>
                <w:rFonts w:ascii="Arial" w:cs="Arial" w:eastAsia="Arial" w:hAnsi="Arial"/>
                <w:sz w:val="16"/>
                <w:szCs w:val="16"/>
                <w:color w:val="0000EE"/>
              </w:rPr>
              <w:t xml:space="preserve"> </w:t>
            </w:r>
            <w:r>
              <w:rPr>
                <w:rFonts w:ascii="Arial" w:cs="Arial" w:eastAsia="Arial" w:hAnsi="Arial"/>
                <w:sz w:val="16"/>
                <w:szCs w:val="16"/>
                <w:color w:val="0000FF"/>
              </w:rPr>
              <w:t>31, 2017 and December 31, 2016</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2017 and 2016</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months ended March 31, 2017 and 2016</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2017 and 2016</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280" w:type="dxa"/>
            <w:vAlign w:val="bottom"/>
            <w:tcBorders>
              <w:top w:val="single" w:sz="8" w:color="0000FF"/>
            </w:tcBorders>
            <w:gridSpan w:val="4"/>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4">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34</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4">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55</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5">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55</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83"/>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109,651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86,737</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135,128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157,119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$510 and $702 as of March 31, 2017 and December 31, 2016, respectively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41,639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47,024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295,461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300,688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63,684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45,725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40,823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39,401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37,279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16,590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441,521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4,338</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120,044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114,964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137,720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130,332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18,461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157,053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148,591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2017 and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2016</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37,022,480 and 35,841,001 shares issued and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outstanding at March 31, 2017 and December 31, 2016</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262,620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266,794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 (Accumulated deficit)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22,037</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284,468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441,521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53,121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46,248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12,294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40,827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36,697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8,109</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16,014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14,167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6,824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33,171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29,100</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4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(13,821)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36,493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34,619</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38,845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5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21,930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Change in foreign currency translation loss, net of zero tax</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229</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 income</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tax</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920" w:type="dxa"/>
            <w:vAlign w:val="bottom"/>
            <w:tcBorders>
              <w:bottom w:val="single" w:sz="8" w:color="231F20"/>
            </w:tcBorders>
            <w:shd w:val="clear" w:color="auto" w:fill="CCEEFF"/>
          </w:tcPr>
          <w:p>
            <w:pPr>
              <w:spacing w:after="0"/>
              <w:rPr>
                <w:sz w:val="21"/>
                <w:szCs w:val="21"/>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231F20"/>
            </w:tcBorders>
            <w:shd w:val="clear" w:color="auto" w:fill="CCEEFF"/>
          </w:tcPr>
          <w:p>
            <w:pPr>
              <w:spacing w:after="0"/>
              <w:rPr>
                <w:sz w:val="21"/>
                <w:szCs w:val="21"/>
                <w:color w:val="auto"/>
              </w:rPr>
            </w:pPr>
          </w:p>
        </w:tc>
        <w:tc>
          <w:tcPr>
            <w:tcW w:w="5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21,860</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3"/>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3,834</w:t>
            </w:r>
          </w:p>
        </w:tc>
      </w:tr>
      <w:tr>
        <w:trPr>
          <w:trHeight w:val="264"/>
        </w:trPr>
        <w:tc>
          <w:tcPr>
            <w:tcW w:w="8320" w:type="dxa"/>
            <w:vAlign w:val="bottom"/>
          </w:tcPr>
          <w:p>
            <w:pPr>
              <w:ind w:left="48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6"/>
        </w:trPr>
        <w:tc>
          <w:tcPr>
            <w:tcW w:w="83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2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4,697</w:t>
            </w:r>
          </w:p>
        </w:tc>
      </w:tr>
      <w:tr>
        <w:trPr>
          <w:trHeight w:val="276"/>
        </w:trPr>
        <w:tc>
          <w:tcPr>
            <w:tcW w:w="83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r>
        <w:trPr>
          <w:trHeight w:val="264"/>
        </w:trPr>
        <w:tc>
          <w:tcPr>
            <w:tcW w:w="8320" w:type="dxa"/>
            <w:vAlign w:val="bottom"/>
          </w:tcPr>
          <w:p>
            <w:pPr>
              <w:ind w:left="4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(3,095)</w:t>
            </w:r>
          </w:p>
        </w:tc>
      </w:tr>
      <w:tr>
        <w:trPr>
          <w:trHeight w:val="276"/>
        </w:trPr>
        <w:tc>
          <w:tcPr>
            <w:tcW w:w="83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r>
      <w:tr>
        <w:trPr>
          <w:trHeight w:val="264"/>
        </w:trPr>
        <w:tc>
          <w:tcPr>
            <w:tcW w:w="8320" w:type="dxa"/>
            <w:vAlign w:val="bottom"/>
          </w:tcPr>
          <w:p>
            <w:pPr>
              <w:ind w:left="480"/>
              <w:spacing w:after="0"/>
              <w:rPr>
                <w:sz w:val="20"/>
                <w:szCs w:val="20"/>
                <w:color w:val="auto"/>
              </w:rPr>
            </w:pPr>
            <w:r>
              <w:rPr>
                <w:rFonts w:ascii="Arial" w:cs="Arial" w:eastAsia="Arial" w:hAnsi="Arial"/>
                <w:sz w:val="14"/>
                <w:szCs w:val="14"/>
                <w:color w:val="auto"/>
              </w:rPr>
              <w:t>Excess tax benefits included in deferred tax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20" w:type="dxa"/>
            <w:vAlign w:val="bottom"/>
          </w:tcPr>
          <w:p>
            <w:pPr>
              <w:ind w:left="70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76"/>
        </w:trPr>
        <w:tc>
          <w:tcPr>
            <w:tcW w:w="83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r>
      <w:tr>
        <w:trPr>
          <w:trHeight w:val="264"/>
        </w:trPr>
        <w:tc>
          <w:tcPr>
            <w:tcW w:w="8320" w:type="dxa"/>
            <w:vAlign w:val="bottom"/>
          </w:tcPr>
          <w:p>
            <w:pPr>
              <w:ind w:left="70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2,026</w:t>
            </w:r>
          </w:p>
        </w:tc>
      </w:tr>
      <w:tr>
        <w:trPr>
          <w:trHeight w:val="276"/>
        </w:trPr>
        <w:tc>
          <w:tcPr>
            <w:tcW w:w="83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64"/>
        </w:trPr>
        <w:tc>
          <w:tcPr>
            <w:tcW w:w="8320" w:type="dxa"/>
            <w:vAlign w:val="bottom"/>
          </w:tcPr>
          <w:p>
            <w:pPr>
              <w:ind w:left="700"/>
              <w:spacing w:after="0"/>
              <w:rPr>
                <w:sz w:val="20"/>
                <w:szCs w:val="20"/>
                <w:color w:val="auto"/>
              </w:rPr>
            </w:pPr>
            <w:r>
              <w:rPr>
                <w:rFonts w:ascii="Arial" w:cs="Arial" w:eastAsia="Arial" w:hAnsi="Arial"/>
                <w:sz w:val="14"/>
                <w:szCs w:val="14"/>
                <w:color w:val="auto"/>
              </w:rPr>
              <w:t>Deferred revenues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2,059</w:t>
            </w:r>
          </w:p>
        </w:tc>
      </w:tr>
      <w:tr>
        <w:trPr>
          <w:trHeight w:val="270"/>
        </w:trPr>
        <w:tc>
          <w:tcPr>
            <w:tcW w:w="83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r>
      <w:tr>
        <w:trPr>
          <w:trHeight w:val="210"/>
        </w:trPr>
        <w:tc>
          <w:tcPr>
            <w:tcW w:w="83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17,138</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(60,201)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(49,450)</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52,176</w:t>
            </w: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(4,181)</w:t>
            </w:r>
          </w:p>
        </w:tc>
      </w:tr>
      <w:tr>
        <w:trPr>
          <w:trHeight w:val="27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50"/>
        </w:trPr>
        <w:tc>
          <w:tcPr>
            <w:tcW w:w="83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(1,573)</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2,113</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3,095</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(14,107)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(8,505)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5,208</w:t>
            </w:r>
          </w:p>
        </w:tc>
      </w:tr>
      <w:tr>
        <w:trPr>
          <w:trHeight w:val="250"/>
        </w:trPr>
        <w:tc>
          <w:tcPr>
            <w:tcW w:w="832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22,914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20,773</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86,737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r>
      <w:tr>
        <w:trPr>
          <w:trHeight w:val="28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109,651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112,471</w:t>
            </w:r>
          </w:p>
        </w:tc>
      </w:tr>
      <w:tr>
        <w:trPr>
          <w:trHeight w:val="264"/>
        </w:trPr>
        <w:tc>
          <w:tcPr>
            <w:tcW w:w="8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Supplemental cash flow disclosures: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832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501</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00"/>
          </w:cols>
          <w:pgMar w:left="240" w:top="1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41" w:right="25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2016</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 periods ended March 31, 2017 are not necessarily indicative of the results of operations expected for the entire year ending December 31, 2017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2016</w:t>
      </w:r>
      <w:r>
        <w:rPr>
          <w:rFonts w:ascii="Arial" w:cs="Arial" w:eastAsia="Arial" w:hAnsi="Arial"/>
          <w:sz w:val="18"/>
          <w:szCs w:val="18"/>
          <w:color w:val="231F20"/>
        </w:rPr>
        <w:t xml:space="preserve"> filed with the SEC on February 24, 2017.</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247" w:lineRule="exact"/>
        <w:rPr>
          <w:sz w:val="20"/>
          <w:szCs w:val="20"/>
          <w:color w:val="auto"/>
        </w:rPr>
      </w:pPr>
    </w:p>
    <w:p>
      <w:pPr>
        <w:jc w:val="both"/>
        <w:ind w:right="280" w:firstLine="486"/>
        <w:spacing w:after="0" w:line="256" w:lineRule="auto"/>
        <w:rPr>
          <w:sz w:val="20"/>
          <w:szCs w:val="20"/>
          <w:color w:val="auto"/>
        </w:rPr>
      </w:pPr>
      <w:r>
        <w:rPr>
          <w:rFonts w:ascii="Arial" w:cs="Arial" w:eastAsia="Arial" w:hAnsi="Arial"/>
          <w:sz w:val="18"/>
          <w:szCs w:val="18"/>
          <w:color w:val="231F20"/>
        </w:rPr>
        <w:t>The Company reclassified certain information technology expenses across the functions that benefit from their support. For the three months ended March 31, 2016, we reclassified $0.6 million out of general and administrative expenses. Of this amount we reclassified $0.1 million to cost of revenues, $0.3 million to research and development and $0.2 million to sales and marketing.</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29"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231F20"/>
        </w:rPr>
        <w:t xml:space="preserve">In March 2016, the FASB issued ASU 2016-09, </w:t>
      </w:r>
      <w:r>
        <w:rPr>
          <w:rFonts w:ascii="Arial" w:cs="Arial" w:eastAsia="Arial" w:hAnsi="Arial"/>
          <w:sz w:val="18"/>
          <w:szCs w:val="18"/>
          <w:i w:val="1"/>
          <w:iCs w:val="1"/>
          <w:color w:val="231F20"/>
        </w:rPr>
        <w:t>Compensation - Stock Compensation (Topic 718): Improvements to Employee Share-Based Payment Accounting</w:t>
      </w:r>
      <w:r>
        <w:rPr>
          <w:rFonts w:ascii="Arial" w:cs="Arial" w:eastAsia="Arial" w:hAnsi="Arial"/>
          <w:sz w:val="18"/>
          <w:szCs w:val="18"/>
          <w:color w:val="231F20"/>
        </w:rPr>
        <w:t>, (ASU 2016-09) intended to simplify and improve various aspects related to how employee-share based payment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transactions are accounted for and presented in the financial statements. The ASU addresses income tax consequences, classification of awards as either equity or liabilities, classification on the statement of cash flows and forfeiture rate calculations. This guidance is effective for public business entities in fiscal years, and interim periods within those fiscal years, beginning after December 15, 2016. The Company adopted this guidance in its first quarter of 2017 and elected to apply this adoption prospectively. Prior periods have not been adjusted. The Company has made the accounting policy election to continue to estimate forfeitures expected to occur to determine the amount of stock-based compensation expense to record each period. See Note 8 for information regarding the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1"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Revenue from Contracts with Customers</w:t>
      </w:r>
    </w:p>
    <w:p>
      <w:pPr>
        <w:spacing w:after="0" w:line="26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231F20"/>
        </w:rPr>
        <w:t xml:space="preserve">In May 2014, the Financial Accounting Standards Board (FASB) issued Accounting Standards Update (ASU) 2014-09, </w:t>
      </w:r>
      <w:r>
        <w:rPr>
          <w:rFonts w:ascii="Arial" w:cs="Arial" w:eastAsia="Arial" w:hAnsi="Arial"/>
          <w:sz w:val="18"/>
          <w:szCs w:val="18"/>
          <w:i w:val="1"/>
          <w:iCs w:val="1"/>
          <w:color w:val="231F20"/>
        </w:rPr>
        <w:t>Revenue from</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Contracts with Customers (</w:t>
      </w:r>
      <w:r>
        <w:rPr>
          <w:rFonts w:ascii="Arial" w:cs="Arial" w:eastAsia="Arial" w:hAnsi="Arial"/>
          <w:sz w:val="18"/>
          <w:szCs w:val="18"/>
          <w:color w:val="231F20"/>
        </w:rPr>
        <w:t>ASU 2014-09), as amended, which will supersede nearly all existing revenue recognition guidance. Under ASU</w:t>
      </w:r>
      <w:r>
        <w:rPr>
          <w:rFonts w:ascii="Arial" w:cs="Arial" w:eastAsia="Arial" w:hAnsi="Arial"/>
          <w:sz w:val="18"/>
          <w:szCs w:val="18"/>
          <w:i w:val="1"/>
          <w:iCs w:val="1"/>
          <w:color w:val="231F20"/>
        </w:rPr>
        <w:t xml:space="preserve"> </w:t>
      </w:r>
      <w:r>
        <w:rPr>
          <w:rFonts w:ascii="Arial" w:cs="Arial" w:eastAsia="Arial" w:hAnsi="Arial"/>
          <w:sz w:val="18"/>
          <w:szCs w:val="18"/>
          <w:color w:val="231F20"/>
        </w:rPr>
        <w:t>2014-09, an entity is required to recognize revenue upon transfer of promised goods or services to customers in an amount that reflects the expected consideration received in exchange for those goods or services. ASU 2014-09 defines a five-step process in order to achieve this core principle, which may require the use of judgment and estimates, and also requires expanded qualitative and quantitative disclosures relating to the nature, amount, timing and uncertainty of revenue and cash flows arising from contracts with customers, including significant judgments and estimates used.</w:t>
      </w:r>
    </w:p>
    <w:p>
      <w:pPr>
        <w:spacing w:after="0" w:line="20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231F20"/>
        </w:rPr>
        <w:t xml:space="preserve">The FASB has recently issued several amendments to the new standard, including clarification on accounting for licenses of intellectual property and identifying performance obligations. The amendments include ASU 2016-08, </w:t>
      </w:r>
      <w:r>
        <w:rPr>
          <w:rFonts w:ascii="Arial" w:cs="Arial" w:eastAsia="Arial" w:hAnsi="Arial"/>
          <w:sz w:val="18"/>
          <w:szCs w:val="18"/>
          <w:i w:val="1"/>
          <w:iCs w:val="1"/>
          <w:color w:val="231F20"/>
        </w:rPr>
        <w:t>Revenue from Contracts with Customers (Topic</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231F20"/>
        </w:rPr>
        <w:t>606)-Principal versus Agent Considerations</w:t>
      </w:r>
      <w:r>
        <w:rPr>
          <w:rFonts w:ascii="Arial" w:cs="Arial" w:eastAsia="Arial" w:hAnsi="Arial"/>
          <w:sz w:val="18"/>
          <w:szCs w:val="18"/>
          <w:color w:val="231F20"/>
        </w:rPr>
        <w:t>, which was issued in March 2016, and clarifies the implementation guidance for principal versus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agent considerations in ASU 2014-09, and ASU 2016-10, </w:t>
      </w:r>
      <w:r>
        <w:rPr>
          <w:rFonts w:ascii="Arial" w:cs="Arial" w:eastAsia="Arial" w:hAnsi="Arial"/>
          <w:sz w:val="18"/>
          <w:szCs w:val="18"/>
          <w:i w:val="1"/>
          <w:iCs w:val="1"/>
          <w:color w:val="231F20"/>
        </w:rPr>
        <w:t>Revenue from Contracts with Customers (Topic 606)-Identifying Performance</w:t>
      </w:r>
      <w:r>
        <w:rPr>
          <w:rFonts w:ascii="Arial" w:cs="Arial" w:eastAsia="Arial" w:hAnsi="Arial"/>
          <w:sz w:val="18"/>
          <w:szCs w:val="18"/>
          <w:color w:val="231F20"/>
        </w:rPr>
        <w:t xml:space="preserve"> </w:t>
      </w:r>
      <w:r>
        <w:rPr>
          <w:rFonts w:ascii="Arial" w:cs="Arial" w:eastAsia="Arial" w:hAnsi="Arial"/>
          <w:sz w:val="18"/>
          <w:szCs w:val="18"/>
          <w:i w:val="1"/>
          <w:iCs w:val="1"/>
          <w:color w:val="231F20"/>
        </w:rPr>
        <w:t>Obligations and Licensing</w:t>
      </w:r>
      <w:r>
        <w:rPr>
          <w:rFonts w:ascii="Arial" w:cs="Arial" w:eastAsia="Arial" w:hAnsi="Arial"/>
          <w:sz w:val="18"/>
          <w:szCs w:val="18"/>
          <w:color w:val="231F20"/>
        </w:rPr>
        <w:t>, which was issued in April 2016, and amends the guidance in ASU 2014-09 related to identifying performance</w:t>
      </w:r>
      <w:r>
        <w:rPr>
          <w:rFonts w:ascii="Arial" w:cs="Arial" w:eastAsia="Arial" w:hAnsi="Arial"/>
          <w:sz w:val="18"/>
          <w:szCs w:val="18"/>
          <w:i w:val="1"/>
          <w:iCs w:val="1"/>
          <w:color w:val="231F20"/>
        </w:rPr>
        <w:t xml:space="preserve"> </w:t>
      </w:r>
      <w:r>
        <w:rPr>
          <w:rFonts w:ascii="Arial" w:cs="Arial" w:eastAsia="Arial" w:hAnsi="Arial"/>
          <w:sz w:val="18"/>
          <w:szCs w:val="18"/>
          <w:color w:val="231F20"/>
        </w:rPr>
        <w:t>obligations and accounting for licenses of intellectual property.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The Company will adopt the new standard effective January 1, 2018.</w:t>
      </w:r>
    </w:p>
    <w:p>
      <w:pPr>
        <w:spacing w:after="0" w:line="206"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18"/>
          <w:szCs w:val="18"/>
          <w:color w:val="auto"/>
        </w:rPr>
        <w:t>The Company is continuing to assess the impact of adopting ASU 2014-09 on its financial position, results of operations, cash flows and related disclosures and has not yet determined whether the effect will be material. Additionally, as the Company continues to assess the new standard along with industry trends and additional interpretive guidance, the Company may adjust its implementation plan accordingly.</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currently believes the new standard will have the most significant impacts relating to the potential deferral of sales commissions and contract costs and the accounting for financing components of certain long term contracts.</w:t>
      </w:r>
    </w:p>
    <w:p>
      <w:pPr>
        <w:spacing w:after="0" w:line="196"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231F20"/>
        </w:rPr>
        <w:t>The Company currently plans to adopt using the modified retrospective approach. However, a final decision regarding the adoption method has not been finalized at this time.</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231F20"/>
        </w:rPr>
        <w:t xml:space="preserve">In January 2016, the FASB issued ASU 2016-01, </w:t>
      </w:r>
      <w:r>
        <w:rPr>
          <w:rFonts w:ascii="Arial" w:cs="Arial" w:eastAsia="Arial" w:hAnsi="Arial"/>
          <w:sz w:val="18"/>
          <w:szCs w:val="18"/>
          <w:i w:val="1"/>
          <w:iCs w:val="1"/>
          <w:color w:val="231F20"/>
        </w:rPr>
        <w:t>Financial Instruments - Overall (Subtopic 825-10): Recognition and Measurement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Assets and Financial Liabilities</w:t>
      </w:r>
      <w:r>
        <w:rPr>
          <w:rFonts w:ascii="Arial" w:cs="Arial" w:eastAsia="Arial" w:hAnsi="Arial"/>
          <w:sz w:val="18"/>
          <w:szCs w:val="18"/>
          <w:color w:val="231F20"/>
        </w:rPr>
        <w:t>, which will impact certain aspects of recognition, measurement, presentation and disclosure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financial instruments. </w:t>
      </w:r>
      <w:r>
        <w:rPr>
          <w:rFonts w:ascii="Arial" w:cs="Arial" w:eastAsia="Arial" w:hAnsi="Arial"/>
          <w:sz w:val="18"/>
          <w:szCs w:val="18"/>
          <w:color w:val="000000"/>
        </w:rPr>
        <w:t>The guidance will impact the accounting for equity investments, financial liabilities under the fair value option, and the</w:t>
      </w:r>
      <w:r>
        <w:rPr>
          <w:rFonts w:ascii="Arial" w:cs="Arial" w:eastAsia="Arial" w:hAnsi="Arial"/>
          <w:sz w:val="18"/>
          <w:szCs w:val="18"/>
          <w:color w:val="231F20"/>
        </w:rPr>
        <w:t xml:space="preserve"> </w:t>
      </w:r>
      <w:r>
        <w:rPr>
          <w:rFonts w:ascii="Arial" w:cs="Arial" w:eastAsia="Arial" w:hAnsi="Arial"/>
          <w:sz w:val="18"/>
          <w:szCs w:val="18"/>
          <w:color w:val="000000"/>
        </w:rPr>
        <w:t xml:space="preserve">presentation and disclosure requirements for financial instruments. </w:t>
      </w:r>
      <w:r>
        <w:rPr>
          <w:rFonts w:ascii="Arial" w:cs="Arial" w:eastAsia="Arial" w:hAnsi="Arial"/>
          <w:sz w:val="18"/>
          <w:szCs w:val="18"/>
          <w:color w:val="231F20"/>
        </w:rPr>
        <w:t>This guidance is effective for public business entities in fiscal years, and</w:t>
      </w:r>
      <w:r>
        <w:rPr>
          <w:rFonts w:ascii="Arial" w:cs="Arial" w:eastAsia="Arial" w:hAnsi="Arial"/>
          <w:sz w:val="18"/>
          <w:szCs w:val="18"/>
          <w:color w:val="000000"/>
        </w:rPr>
        <w:t xml:space="preserve"> </w:t>
      </w:r>
      <w:r>
        <w:rPr>
          <w:rFonts w:ascii="Arial" w:cs="Arial" w:eastAsia="Arial" w:hAnsi="Arial"/>
          <w:sz w:val="18"/>
          <w:szCs w:val="18"/>
          <w:color w:val="231F20"/>
        </w:rPr>
        <w:t>interim periods within those fiscal years, beginning after December 15, 2017. The Company is currently evaluating the impact this ASU will have on its consolidated financial statements.</w:t>
      </w:r>
    </w:p>
    <w:p>
      <w:pPr>
        <w:spacing w:after="0" w:line="183"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which requires, among other things, lease assets and lease liabilities arising from leases, including operating leases, to be recognized on the balance sheet. In addition, this ASU requires disclosing key information about leasing arrangements. This guidance supersedes existing lease guidance and is effective for public business entities in fiscal years, and interim periods within those fiscal years, beginning after December 15, 2018. </w:t>
      </w:r>
      <w:r>
        <w:rPr>
          <w:rFonts w:ascii="Arial" w:cs="Arial" w:eastAsia="Arial" w:hAnsi="Arial"/>
          <w:sz w:val="18"/>
          <w:szCs w:val="18"/>
          <w:color w:val="000000"/>
        </w:rPr>
        <w:t>Pursuant to the leasing criteria, most of our leased</w:t>
      </w:r>
      <w:r>
        <w:rPr>
          <w:rFonts w:ascii="Arial" w:cs="Arial" w:eastAsia="Arial" w:hAnsi="Arial"/>
          <w:sz w:val="18"/>
          <w:szCs w:val="18"/>
          <w:color w:val="231F20"/>
        </w:rPr>
        <w:t xml:space="preserve"> </w:t>
      </w:r>
      <w:r>
        <w:rPr>
          <w:rFonts w:ascii="Arial" w:cs="Arial" w:eastAsia="Arial" w:hAnsi="Arial"/>
          <w:sz w:val="18"/>
          <w:szCs w:val="18"/>
          <w:color w:val="000000"/>
        </w:rPr>
        <w:t xml:space="preserve">space and equipment leases will be capitalized assets on the balance sheet with an offsetting financing obligation. In the statement of operations, what was formerly rent expense will be bifurcated into depreciation and interest expense. </w:t>
      </w:r>
      <w:r>
        <w:rPr>
          <w:rFonts w:ascii="Arial" w:cs="Arial" w:eastAsia="Arial" w:hAnsi="Arial"/>
          <w:sz w:val="18"/>
          <w:szCs w:val="18"/>
          <w:color w:val="231F20"/>
        </w:rPr>
        <w:t>The Company is currently evaluating the</w:t>
      </w:r>
      <w:r>
        <w:rPr>
          <w:rFonts w:ascii="Arial" w:cs="Arial" w:eastAsia="Arial" w:hAnsi="Arial"/>
          <w:sz w:val="18"/>
          <w:szCs w:val="18"/>
          <w:color w:val="000000"/>
        </w:rPr>
        <w:t xml:space="preserve"> </w:t>
      </w:r>
      <w:r>
        <w:rPr>
          <w:rFonts w:ascii="Arial" w:cs="Arial" w:eastAsia="Arial" w:hAnsi="Arial"/>
          <w:sz w:val="18"/>
          <w:szCs w:val="18"/>
          <w:color w:val="231F20"/>
        </w:rPr>
        <w:t>impact of the adoption of this update on its consolidated financial statements.</w:t>
      </w:r>
    </w:p>
    <w:p>
      <w:pPr>
        <w:spacing w:after="0" w:line="189" w:lineRule="exact"/>
        <w:rPr>
          <w:sz w:val="20"/>
          <w:szCs w:val="20"/>
          <w:color w:val="auto"/>
        </w:rPr>
      </w:pPr>
    </w:p>
    <w:p>
      <w:pPr>
        <w:ind w:right="340" w:firstLine="392"/>
        <w:spacing w:after="0" w:line="266"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Classification of Certain Cash Receipts and Cash Payments (a consensus of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Emerging Issues Task Force)</w:t>
      </w:r>
      <w:r>
        <w:rPr>
          <w:rFonts w:ascii="Arial" w:cs="Arial" w:eastAsia="Arial" w:hAnsi="Arial"/>
          <w:sz w:val="18"/>
          <w:szCs w:val="18"/>
          <w:color w:val="231F20"/>
        </w:rPr>
        <w:t>, to provide guidance on the presentation of certain cash receipts and cash payments in the statement of cash</w:t>
      </w:r>
      <w:r>
        <w:rPr>
          <w:rFonts w:ascii="Arial" w:cs="Arial" w:eastAsia="Arial" w:hAnsi="Arial"/>
          <w:sz w:val="18"/>
          <w:szCs w:val="18"/>
          <w:i w:val="1"/>
          <w:iCs w:val="1"/>
          <w:color w:val="231F20"/>
        </w:rPr>
        <w:t xml:space="preserve"> </w:t>
      </w:r>
      <w:r>
        <w:rPr>
          <w:rFonts w:ascii="Arial" w:cs="Arial" w:eastAsia="Arial" w:hAnsi="Arial"/>
          <w:sz w:val="18"/>
          <w:szCs w:val="18"/>
          <w:color w:val="231F20"/>
        </w:rPr>
        <w:t>flows in order to reduce diversity in existing practice. The amendments in this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231F20"/>
        </w:rPr>
        <w:t>ASU are effective for public business entities for fiscal years beginning after December 15, 2017, and interim periods within those fiscal years. Early adoption is permitted, including adoption in an interim period. The Company is currently evaluating the impact of the adoption of this update on its consolidated financial statements.</w:t>
      </w:r>
    </w:p>
    <w:p>
      <w:pPr>
        <w:spacing w:after="0" w:line="184"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231F20"/>
        </w:rPr>
        <w:t xml:space="preserve">In November 2016, the FASB issued ASU 2016-18, </w:t>
      </w:r>
      <w:r>
        <w:rPr>
          <w:rFonts w:ascii="Arial" w:cs="Arial" w:eastAsia="Arial" w:hAnsi="Arial"/>
          <w:sz w:val="18"/>
          <w:szCs w:val="18"/>
          <w:i w:val="1"/>
          <w:iCs w:val="1"/>
          <w:color w:val="231F20"/>
        </w:rPr>
        <w:t>Statement of Cash Flows (Topic 230): Restricted Cash</w:t>
      </w:r>
      <w:r>
        <w:rPr>
          <w:rFonts w:ascii="Arial" w:cs="Arial" w:eastAsia="Arial" w:hAnsi="Arial"/>
          <w:sz w:val="18"/>
          <w:szCs w:val="18"/>
          <w:color w:val="231F20"/>
        </w:rPr>
        <w:t>, which requires the statement of cash flows to explain the change during the period in the total of cash, cash equivalents and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public business entities in fiscal years, and interim periods within those fiscal years, beginning after December 15, 2017. Early adoption is permitted. The Company is currently evaluating the impact this ASU will have on its consolidated financial statements.</w:t>
      </w:r>
    </w:p>
    <w:p>
      <w:pPr>
        <w:spacing w:after="0" w:line="183" w:lineRule="exact"/>
        <w:rPr>
          <w:sz w:val="20"/>
          <w:szCs w:val="20"/>
          <w:color w:val="auto"/>
        </w:rPr>
      </w:pPr>
    </w:p>
    <w:p>
      <w:pPr>
        <w:ind w:right="40" w:firstLine="392"/>
        <w:spacing w:after="0" w:line="258"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 (Topic 350)</w:t>
      </w:r>
      <w:r>
        <w:rPr>
          <w:rFonts w:ascii="Arial" w:cs="Arial" w:eastAsia="Arial" w:hAnsi="Arial"/>
          <w:sz w:val="18"/>
          <w:szCs w:val="18"/>
          <w:color w:val="231F20"/>
        </w:rPr>
        <w:t>.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Company does not expect the adoption of this guidance to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6"/>
                <w:szCs w:val="16"/>
                <w:b w:val="1"/>
                <w:bCs w:val="1"/>
                <w:color w:val="auto"/>
              </w:rPr>
              <w:t>March 31,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91,022</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91,022</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18,629</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18,629</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109,651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109,651</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3,138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3,139</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20,416</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111,561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111,466</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135,238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135,128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4,053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4,053</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27,785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27,710</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31,963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31,921</w:t>
            </w:r>
          </w:p>
        </w:tc>
      </w:tr>
      <w:tr>
        <w:trPr>
          <w:trHeight w:val="250"/>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63,801</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63,684</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308,690</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308,463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17"/>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72,673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72,673</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13,591</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86,737</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14,787</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127,660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127,618</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157,167</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157,119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5,093</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29,430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11,202</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45,835</w:t>
            </w: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45,725</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289,581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231F20"/>
        </w:rPr>
        <w:t>The following table shows the changes to accumulated other comprehensive income (loss) for the three months ended March 31, 2017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 Gain</w:t>
            </w:r>
          </w:p>
        </w:tc>
      </w:t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 net on</w:t>
            </w:r>
          </w:p>
        </w:tc>
      </w:tr>
      <w:tr>
        <w:trPr>
          <w:trHeight w:val="224"/>
        </w:trPr>
        <w:tc>
          <w:tcPr>
            <w:tcW w:w="9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Investments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3"/>
        </w:trPr>
        <w:tc>
          <w:tcPr>
            <w:tcW w:w="9720" w:type="dxa"/>
            <w:vAlign w:val="bottom"/>
          </w:tcPr>
          <w:p>
            <w:pPr>
              <w:ind w:left="280"/>
              <w:spacing w:after="0"/>
              <w:rPr>
                <w:sz w:val="20"/>
                <w:szCs w:val="20"/>
                <w:color w:val="auto"/>
              </w:rPr>
            </w:pPr>
            <w:r>
              <w:rPr>
                <w:rFonts w:ascii="Arial" w:cs="Arial" w:eastAsia="Arial" w:hAnsi="Arial"/>
                <w:sz w:val="16"/>
                <w:szCs w:val="16"/>
                <w:color w:val="auto"/>
              </w:rPr>
              <w:t>Change in net realized gain (loss) on investments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6"/>
        </w:trPr>
        <w:tc>
          <w:tcPr>
            <w:tcW w:w="9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(loss) included in net income</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97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Other comprehensive income (loss), net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48"/>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March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March 31, 2017</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139,176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139,176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52,337</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4,160</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198,812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198,812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157,048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Mature within One</w:t>
            </w:r>
          </w:p>
        </w:tc>
        <w:tc>
          <w:tcPr>
            <w:tcW w:w="120" w:type="dxa"/>
            <w:vAlign w:val="bottom"/>
          </w:tcPr>
          <w:p>
            <w:pPr>
              <w:spacing w:after="0"/>
              <w:rPr>
                <w:sz w:val="15"/>
                <w:szCs w:val="15"/>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After One Year through</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Two Years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Over Two Years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5"/>
          </w:tcPr>
          <w:p>
            <w:pPr>
              <w:ind w:left="11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111,466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27,710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139,176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52,337</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Asset-backed securities</w:t>
            </w:r>
          </w:p>
        </w:tc>
        <w:tc>
          <w:tcPr>
            <w:tcW w:w="1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4,160</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198,812</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22222"/>
        </w:rPr>
        <w:t>At March 31, 2017, the Company had two outstanding forward contrac</w:t>
      </w:r>
      <w:r>
        <w:rPr>
          <w:rFonts w:ascii="Arial" w:cs="Arial" w:eastAsia="Arial" w:hAnsi="Arial"/>
          <w:sz w:val="18"/>
          <w:szCs w:val="18"/>
          <w:color w:val="000000"/>
        </w:rPr>
        <w:t>ts with notional amounts of 7.4 million Euros and 4.7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which expired on April 28, 2017. </w:t>
      </w:r>
      <w:r>
        <w:rPr>
          <w:rFonts w:ascii="Arial" w:cs="Arial" w:eastAsia="Arial" w:hAnsi="Arial"/>
          <w:sz w:val="18"/>
          <w:szCs w:val="18"/>
          <w:color w:val="222222"/>
        </w:rPr>
        <w:t>At December 31, 2016, the Company had two outstanding forward contracts with notional amounts of</w:t>
      </w:r>
      <w:r>
        <w:rPr>
          <w:rFonts w:ascii="Arial" w:cs="Arial" w:eastAsia="Arial" w:hAnsi="Arial"/>
          <w:sz w:val="18"/>
          <w:szCs w:val="18"/>
          <w:color w:val="000000"/>
        </w:rPr>
        <w:t xml:space="preserve"> </w:t>
      </w:r>
      <w:r>
        <w:rPr>
          <w:rFonts w:ascii="Arial" w:cs="Arial" w:eastAsia="Arial" w:hAnsi="Arial"/>
          <w:sz w:val="18"/>
          <w:szCs w:val="18"/>
          <w:color w:val="222222"/>
        </w:rPr>
        <w:t xml:space="preserve">7.6 million Euros and 4.6 million British Pounds, which expired on February 2, 2017. These </w:t>
      </w:r>
      <w:r>
        <w:rPr>
          <w:rFonts w:ascii="Arial" w:cs="Arial" w:eastAsia="Arial" w:hAnsi="Arial"/>
          <w:sz w:val="18"/>
          <w:szCs w:val="18"/>
          <w:color w:val="231F20"/>
        </w:rPr>
        <w:t>forward contracts were entered into at the end of</w:t>
      </w:r>
      <w:r>
        <w:rPr>
          <w:rFonts w:ascii="Arial" w:cs="Arial" w:eastAsia="Arial" w:hAnsi="Arial"/>
          <w:sz w:val="18"/>
          <w:szCs w:val="18"/>
          <w:color w:val="222222"/>
        </w:rPr>
        <w:t xml:space="preserve"> </w:t>
      </w: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March 31, 2017</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2016</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6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forward contracts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transactions gain</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foreign exchange gain (loss), net</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1"/>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959"/>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57,295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20,081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19,716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14,799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14,776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105,037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98,906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(59,505)</w:t>
            </w:r>
          </w:p>
        </w:tc>
      </w:tr>
      <w:tr>
        <w:trPr>
          <w:trHeight w:val="240"/>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40,823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had a net carrying value of $ 7.3 million and $ 8.3 million at </w:t>
      </w:r>
      <w:r>
        <w:rPr>
          <w:rFonts w:ascii="Arial" w:cs="Arial" w:eastAsia="Arial" w:hAnsi="Arial"/>
          <w:sz w:val="18"/>
          <w:szCs w:val="18"/>
          <w:color w:val="000000"/>
        </w:rPr>
        <w:t>March 31, 2017</w:t>
      </w:r>
      <w:r>
        <w:rPr>
          <w:rFonts w:ascii="Arial" w:cs="Arial" w:eastAsia="Arial" w:hAnsi="Arial"/>
          <w:sz w:val="18"/>
          <w:szCs w:val="18"/>
          <w:color w:val="231F20"/>
        </w:rPr>
        <w:t xml:space="preserve"> and December 31, 2016, respectively, including assets that have not been placed in service of $0.7 million and $1.3 million, respectively. Depreciation and amortization expense relating to property and equipment was $4.7 million and $3.7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and 2016,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Intangible assets consist primarily of existing technology and a patent license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31, 2016</w:t>
            </w:r>
          </w:p>
        </w:tc>
      </w:tr>
      <w:tr>
        <w:trPr>
          <w:trHeight w:val="175"/>
        </w:trPr>
        <w:tc>
          <w:tcPr>
            <w:tcW w:w="400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Net Book</w:t>
            </w:r>
          </w:p>
        </w:tc>
      </w:tr>
      <w:tr>
        <w:trPr>
          <w:trHeight w:val="196"/>
        </w:trPr>
        <w:tc>
          <w:tcPr>
            <w:tcW w:w="40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Value</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 years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14 years</w:t>
            </w:r>
          </w:p>
        </w:tc>
        <w:tc>
          <w:tcPr>
            <w:tcW w:w="24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765</w:t>
            </w:r>
          </w:p>
        </w:tc>
      </w:tr>
      <w:tr>
        <w:trPr>
          <w:trHeight w:val="27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years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000" w:type="dxa"/>
            <w:vAlign w:val="bottom"/>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854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947</w:t>
            </w:r>
          </w:p>
        </w:tc>
      </w:tr>
      <w:tr>
        <w:trPr>
          <w:trHeight w:val="24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880" w:type="dxa"/>
            <w:vAlign w:val="bottom"/>
            <w:tcBorders>
              <w:top w:val="single" w:sz="8" w:color="CCEEFF"/>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860" w:type="dxa"/>
            <w:vAlign w:val="bottom"/>
            <w:tcBorders>
              <w:top w:val="single" w:sz="8" w:color="CCEEFF"/>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r>
      <w:tr>
        <w:trPr>
          <w:trHeight w:val="240"/>
        </w:trPr>
        <w:tc>
          <w:tcPr>
            <w:tcW w:w="4000" w:type="dxa"/>
            <w:vAlign w:val="bottom"/>
          </w:tcPr>
          <w:p>
            <w:pPr>
              <w:ind w:left="260"/>
              <w:spacing w:after="0"/>
              <w:rPr>
                <w:sz w:val="20"/>
                <w:szCs w:val="20"/>
                <w:color w:val="auto"/>
              </w:rPr>
            </w:pPr>
            <w:r>
              <w:rPr>
                <w:rFonts w:ascii="Arial" w:cs="Arial" w:eastAsia="Arial" w:hAnsi="Arial"/>
                <w:sz w:val="16"/>
                <w:szCs w:val="16"/>
                <w:color w:val="auto"/>
              </w:rPr>
              <w:t>Total intangible assets,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987</w:t>
            </w:r>
          </w:p>
        </w:tc>
      </w:tr>
      <w:tr>
        <w:trPr>
          <w:trHeight w:val="20"/>
        </w:trPr>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Intangibles amortization expense was $0.1 million for each of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00"/>
        </w:trPr>
        <w:tc>
          <w:tcPr>
            <w:tcW w:w="1260" w:type="dxa"/>
            <w:vAlign w:val="bottom"/>
            <w:tcBorders>
              <w:top w:val="single" w:sz="8" w:color="0000EE"/>
            </w:tcBorders>
          </w:tcPr>
          <w:p>
            <w:pPr>
              <w:spacing w:after="0"/>
              <w:rPr>
                <w:sz w:val="17"/>
                <w:szCs w:val="17"/>
                <w:color w:val="auto"/>
              </w:rPr>
            </w:pPr>
          </w:p>
        </w:tc>
        <w:tc>
          <w:tcPr>
            <w:tcW w:w="868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231F20"/>
              </w:rPr>
              <w:t>Qualys, Inc.</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48"/>
        </w:trPr>
        <w:tc>
          <w:tcPr>
            <w:tcW w:w="9940" w:type="dxa"/>
            <w:vAlign w:val="bottom"/>
            <w:gridSpan w:val="2"/>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2017</w:t>
            </w:r>
            <w:r>
              <w:rPr>
                <w:rFonts w:ascii="Arial" w:cs="Arial" w:eastAsia="Arial" w:hAnsi="Arial"/>
                <w:sz w:val="18"/>
                <w:szCs w:val="18"/>
                <w:color w:val="231F20"/>
              </w:rPr>
              <w:t>, the Company expects amortization expense in future periods to be as follows (in thousands):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12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2018</w:t>
            </w:r>
          </w:p>
        </w:tc>
        <w:tc>
          <w:tcPr>
            <w:tcW w:w="8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3"/>
        </w:trPr>
        <w:tc>
          <w:tcPr>
            <w:tcW w:w="1260" w:type="dxa"/>
            <w:vAlign w:val="bottom"/>
          </w:tcPr>
          <w:p>
            <w:pPr>
              <w:ind w:left="40"/>
              <w:spacing w:after="0"/>
              <w:rPr>
                <w:sz w:val="20"/>
                <w:szCs w:val="20"/>
                <w:color w:val="auto"/>
              </w:rPr>
            </w:pPr>
            <w:r>
              <w:rPr>
                <w:rFonts w:ascii="Arial" w:cs="Arial" w:eastAsia="Arial" w:hAnsi="Arial"/>
                <w:sz w:val="16"/>
                <w:szCs w:val="16"/>
                <w:color w:val="auto"/>
              </w:rPr>
              <w:t>2020</w:t>
            </w:r>
          </w:p>
        </w:tc>
        <w:tc>
          <w:tcPr>
            <w:tcW w:w="8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2022 and thereafter</w:t>
            </w: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r>
      <w:tr>
        <w:trPr>
          <w:trHeight w:val="240"/>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r>
      <w:tr>
        <w:trPr>
          <w:trHeight w:val="20"/>
        </w:trPr>
        <w:tc>
          <w:tcPr>
            <w:tcW w:w="12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March 31, 2017</w:t>
      </w:r>
      <w:r>
        <w:rPr>
          <w:rFonts w:ascii="Arial" w:cs="Arial" w:eastAsia="Arial" w:hAnsi="Arial"/>
          <w:sz w:val="18"/>
          <w:szCs w:val="18"/>
          <w:color w:val="231F20"/>
        </w:rPr>
        <w:t xml:space="preserve"> and December 31, 2016.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2022.</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March 31, 2017</w:t>
      </w:r>
      <w:r>
        <w:rPr>
          <w:rFonts w:ascii="Arial" w:cs="Arial" w:eastAsia="Arial" w:hAnsi="Arial"/>
          <w:sz w:val="18"/>
          <w:szCs w:val="18"/>
          <w:color w:val="231F20"/>
        </w:rPr>
        <w:t xml:space="preserv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3,554</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5,864</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5,169</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4,855</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4,627</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2022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26,130</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50,199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231F20"/>
        </w:rPr>
        <w:t xml:space="preserve">Rent expense was $1.9 million and $1.7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March 31, 2017</w:t>
      </w:r>
      <w:r>
        <w:rPr>
          <w:rFonts w:ascii="Arial" w:cs="Arial" w:eastAsia="Arial" w:hAnsi="Arial"/>
          <w:sz w:val="18"/>
          <w:szCs w:val="18"/>
          <w:color w:val="231F20"/>
        </w:rPr>
        <w:t xml:space="preserve"> and </w:t>
      </w:r>
      <w:r>
        <w:rPr>
          <w:rFonts w:ascii="Arial" w:cs="Arial" w:eastAsia="Arial" w:hAnsi="Arial"/>
          <w:sz w:val="18"/>
          <w:szCs w:val="18"/>
          <w:color w:val="000000"/>
        </w:rPr>
        <w:t>December 31, 2016</w:t>
      </w:r>
      <w:r>
        <w:rPr>
          <w:rFonts w:ascii="Arial" w:cs="Arial" w:eastAsia="Arial" w:hAnsi="Arial"/>
          <w:sz w:val="18"/>
          <w:szCs w:val="18"/>
          <w:color w:val="231F20"/>
        </w:rPr>
        <w:t>, the Company has accrued $0.4 million and $0.4 million, respectively, of deferred rent related to these agreements, which is reflected in accrued liabilities and other noncurrent liabilities in the accompanying condensed consolidated balance sheets.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March 31, 2017</w:t>
      </w:r>
      <w:r>
        <w:rPr>
          <w:rFonts w:ascii="Arial" w:cs="Arial" w:eastAsia="Arial" w:hAnsi="Arial"/>
          <w:sz w:val="18"/>
          <w:szCs w:val="18"/>
          <w:color w:val="231F20"/>
        </w:rPr>
        <w:t>, the Company has not recorded any material liabilities in accordance with accounting for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9,861,234 shares of common stock. Options may be granted with an exercise price that is at least equal to the fair market value of the Company's stock at the date of grant and are exercisable when vested. As of March 31, 2017, </w:t>
      </w:r>
      <w:r>
        <w:rPr>
          <w:rFonts w:ascii="Arial" w:cs="Arial" w:eastAsia="Arial" w:hAnsi="Arial"/>
          <w:sz w:val="18"/>
          <w:szCs w:val="18"/>
          <w:color w:val="000000"/>
        </w:rPr>
        <w:t>3,219,256</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months ended March 31,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54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283"/>
        </w:trPr>
        <w:tc>
          <w:tcPr>
            <w:tcW w:w="8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247"/>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1,295</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4,697</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2017</w:t>
      </w:r>
      <w:r>
        <w:rPr>
          <w:rFonts w:ascii="Arial" w:cs="Arial" w:eastAsia="Arial" w:hAnsi="Arial"/>
          <w:sz w:val="18"/>
          <w:szCs w:val="18"/>
          <w:color w:val="231F20"/>
        </w:rPr>
        <w:t xml:space="preserve">, the Company had $21.3 million of total unrecognized compensation cost related to unvested option awards that it expects to recognize over a weighted-average period of 2.7 years, and $ 10.9 million </w:t>
      </w:r>
      <w:r>
        <w:rPr>
          <w:rFonts w:ascii="Arial" w:cs="Arial" w:eastAsia="Arial" w:hAnsi="Arial"/>
          <w:sz w:val="18"/>
          <w:szCs w:val="18"/>
          <w:color w:val="000000"/>
        </w:rPr>
        <w:t>of unrecognized compensation cost related to unvested</w:t>
      </w:r>
      <w:r>
        <w:rPr>
          <w:rFonts w:ascii="Arial" w:cs="Arial" w:eastAsia="Arial" w:hAnsi="Arial"/>
          <w:sz w:val="18"/>
          <w:szCs w:val="18"/>
          <w:color w:val="231F20"/>
        </w:rPr>
        <w:t xml:space="preserve"> </w:t>
      </w:r>
      <w:r>
        <w:rPr>
          <w:rFonts w:ascii="Arial" w:cs="Arial" w:eastAsia="Arial" w:hAnsi="Arial"/>
          <w:sz w:val="18"/>
          <w:szCs w:val="18"/>
          <w:color w:val="000000"/>
        </w:rPr>
        <w:t xml:space="preserve">RSUs that it expects to recognize over a weighted-average period of 3.1 years. </w:t>
      </w:r>
      <w:r>
        <w:rPr>
          <w:rFonts w:ascii="Arial" w:cs="Arial" w:eastAsia="Arial" w:hAnsi="Arial"/>
          <w:sz w:val="18"/>
          <w:szCs w:val="18"/>
          <w:color w:val="231F20"/>
        </w:rPr>
        <w:t>Compensation cost is recognized on a straight-line basis over</w:t>
      </w:r>
      <w:r>
        <w:rPr>
          <w:rFonts w:ascii="Arial" w:cs="Arial" w:eastAsia="Arial" w:hAnsi="Arial"/>
          <w:sz w:val="18"/>
          <w:szCs w:val="18"/>
          <w:color w:val="000000"/>
        </w:rPr>
        <w:t xml:space="preserve"> </w:t>
      </w:r>
      <w:r>
        <w:rPr>
          <w:rFonts w:ascii="Arial" w:cs="Arial" w:eastAsia="Arial" w:hAnsi="Arial"/>
          <w:sz w:val="18"/>
          <w:szCs w:val="18"/>
          <w:color w:val="231F20"/>
        </w:rPr>
        <w:t>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4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7,527,680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101,717</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72,650</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(1,624,982)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(115,592)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33.45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5,859,756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88,263</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2017</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4,492,571</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60,984</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2017</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3,777,739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70,365</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66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Outstanding RSUs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6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RSAs</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8"/>
              </w:rPr>
              <w:t>Per Share</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84"/>
        </w:trPr>
        <w:tc>
          <w:tcPr>
            <w:tcW w:w="7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587,333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28.85</w:t>
            </w:r>
          </w:p>
        </w:tc>
        <w:tc>
          <w:tcPr>
            <w:tcW w:w="2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84,299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36.25</w:t>
            </w:r>
          </w:p>
        </w:tc>
        <w:tc>
          <w:tcPr>
            <w:tcW w:w="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Released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(22,776)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25.86</w:t>
            </w:r>
          </w:p>
        </w:tc>
        <w:tc>
          <w:tcPr>
            <w:tcW w:w="20" w:type="dxa"/>
            <w:vAlign w:val="bottom"/>
            <w:shd w:val="clear" w:color="auto" w:fill="CCEEFF"/>
          </w:tcPr>
          <w:p>
            <w:pPr>
              <w:spacing w:after="0"/>
              <w:rPr>
                <w:sz w:val="24"/>
                <w:szCs w:val="24"/>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(37,665)</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9"/>
              </w:rPr>
              <w:t>32.87</w:t>
            </w:r>
          </w:p>
        </w:tc>
        <w:tc>
          <w:tcPr>
            <w:tcW w:w="20" w:type="dxa"/>
            <w:vAlign w:val="bottom"/>
            <w:tcBorders>
              <w:bottom w:val="single" w:sz="8" w:color="CCEEFF"/>
            </w:tcBorders>
          </w:tcPr>
          <w:p>
            <w:pPr>
              <w:spacing w:after="0"/>
              <w:rPr>
                <w:sz w:val="22"/>
                <w:szCs w:val="22"/>
                <w:color w:val="auto"/>
              </w:rPr>
            </w:pPr>
          </w:p>
        </w:tc>
      </w:tr>
      <w:tr>
        <w:trPr>
          <w:trHeight w:val="24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611,191</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29.74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7660" w:type="dxa"/>
            <w:vAlign w:val="bottom"/>
          </w:tcPr>
          <w:p>
            <w:pPr>
              <w:ind w:left="40"/>
              <w:spacing w:after="0"/>
              <w:rPr>
                <w:sz w:val="20"/>
                <w:szCs w:val="20"/>
                <w:color w:val="auto"/>
              </w:rPr>
            </w:pPr>
            <w:r>
              <w:rPr>
                <w:rFonts w:ascii="Arial" w:cs="Arial" w:eastAsia="Arial" w:hAnsi="Arial"/>
                <w:sz w:val="16"/>
                <w:szCs w:val="16"/>
                <w:color w:val="auto"/>
              </w:rPr>
              <w:t>Outstanding and expected to vest - March 31, 2017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454,889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29.64</w:t>
            </w:r>
          </w:p>
        </w:tc>
        <w:tc>
          <w:tcPr>
            <w:tcW w:w="20" w:type="dxa"/>
            <w:vAlign w:val="bottom"/>
          </w:tcPr>
          <w:p>
            <w:pPr>
              <w:spacing w:after="0"/>
              <w:rPr>
                <w:sz w:val="18"/>
                <w:szCs w:val="18"/>
                <w:color w:val="auto"/>
              </w:rPr>
            </w:pPr>
          </w:p>
        </w:tc>
      </w:tr>
      <w:tr>
        <w:trPr>
          <w:trHeight w:val="452"/>
        </w:trPr>
        <w:tc>
          <w:tcPr>
            <w:tcW w:w="7660" w:type="dxa"/>
            <w:vAlign w:val="bottom"/>
          </w:tcPr>
          <w:p>
            <w:pPr>
              <w:spacing w:after="0"/>
              <w:rPr>
                <w:sz w:val="20"/>
                <w:szCs w:val="20"/>
                <w:color w:val="auto"/>
              </w:rPr>
            </w:pPr>
            <w:r>
              <w:rPr>
                <w:rFonts w:ascii="Arial" w:cs="Arial" w:eastAsia="Arial" w:hAnsi="Arial"/>
                <w:sz w:val="18"/>
                <w:szCs w:val="18"/>
                <w:b w:val="1"/>
                <w:bCs w:val="1"/>
                <w:color w:val="231F20"/>
              </w:rPr>
              <w:t>NOTE 7. Other Income (Expense), Net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7660" w:type="dxa"/>
            <w:vAlign w:val="bottom"/>
          </w:tcPr>
          <w:p>
            <w:pPr>
              <w:ind w:left="500"/>
              <w:spacing w:after="0"/>
              <w:rPr>
                <w:sz w:val="20"/>
                <w:szCs w:val="20"/>
                <w:color w:val="auto"/>
              </w:rPr>
            </w:pPr>
            <w:r>
              <w:rPr>
                <w:rFonts w:ascii="Arial" w:cs="Arial" w:eastAsia="Arial" w:hAnsi="Arial"/>
                <w:sz w:val="18"/>
                <w:szCs w:val="18"/>
                <w:color w:val="231F20"/>
              </w:rPr>
              <w:t>Other income (expense), net consists of the following:</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2"/>
        </w:trPr>
        <w:tc>
          <w:tcPr>
            <w:tcW w:w="7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gridSpan w:val="7"/>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7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55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660" w:type="dxa"/>
            <w:vAlign w:val="bottom"/>
          </w:tcPr>
          <w:p>
            <w:pPr>
              <w:spacing w:after="0"/>
              <w:rPr>
                <w:sz w:val="22"/>
                <w:szCs w:val="22"/>
                <w:color w:val="auto"/>
              </w:rPr>
            </w:pPr>
          </w:p>
        </w:tc>
        <w:tc>
          <w:tcPr>
            <w:tcW w:w="1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7"/>
        </w:trPr>
        <w:tc>
          <w:tcPr>
            <w:tcW w:w="7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80" w:type="dxa"/>
            <w:vAlign w:val="bottom"/>
            <w:tcBorders>
              <w:top w:val="single" w:sz="8" w:color="auto"/>
            </w:tcBorders>
            <w:gridSpan w:val="7"/>
          </w:tcPr>
          <w:p>
            <w:pPr>
              <w:jc w:val="center"/>
              <w:ind w:left="45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18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2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4"/>
                <w:szCs w:val="24"/>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(29)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r>
      <w:tr>
        <w:trPr>
          <w:trHeight w:val="24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18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(26)</w:t>
            </w:r>
          </w:p>
        </w:tc>
        <w:tc>
          <w:tcPr>
            <w:tcW w:w="112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0"/>
                <w:szCs w:val="20"/>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The Company recorded an income benefit of $13.8 million and a tax provision of $3.0 million for the three months ended March 31, 2017 and 2016, respectively. The decrease in the tax provision recorded for the three months ended March 31, 2017 is primarily due </w:t>
      </w:r>
      <w:r>
        <w:rPr>
          <w:rFonts w:ascii="Arial" w:cs="Arial" w:eastAsia="Arial" w:hAnsi="Arial"/>
          <w:sz w:val="18"/>
          <w:szCs w:val="18"/>
          <w:color w:val="231F20"/>
        </w:rPr>
        <w:t>to the</w:t>
      </w:r>
      <w:r>
        <w:rPr>
          <w:rFonts w:ascii="Arial" w:cs="Arial" w:eastAsia="Arial" w:hAnsi="Arial"/>
          <w:sz w:val="18"/>
          <w:szCs w:val="18"/>
          <w:color w:val="auto"/>
        </w:rPr>
        <w:t xml:space="preserve"> </w:t>
      </w:r>
      <w:r>
        <w:rPr>
          <w:rFonts w:ascii="Arial" w:cs="Arial" w:eastAsia="Arial" w:hAnsi="Arial"/>
          <w:sz w:val="18"/>
          <w:szCs w:val="18"/>
          <w:color w:val="231F20"/>
        </w:rPr>
        <w:t>recognition of excess tax benefits related to stock-based compensation as a result of the adoption of ASU 2016-09</w:t>
      </w:r>
      <w:r>
        <w:rPr>
          <w:rFonts w:ascii="Arial" w:cs="Arial" w:eastAsia="Arial" w:hAnsi="Arial"/>
          <w:sz w:val="18"/>
          <w:szCs w:val="18"/>
          <w:color w:val="000000"/>
        </w:rPr>
        <w:t>. The Company's effective</w:t>
      </w:r>
      <w:r>
        <w:rPr>
          <w:rFonts w:ascii="Arial" w:cs="Arial" w:eastAsia="Arial" w:hAnsi="Arial"/>
          <w:sz w:val="18"/>
          <w:szCs w:val="18"/>
          <w:color w:val="231F20"/>
        </w:rPr>
        <w:t xml:space="preserve"> </w:t>
      </w:r>
      <w:r>
        <w:rPr>
          <w:rFonts w:ascii="Arial" w:cs="Arial" w:eastAsia="Arial" w:hAnsi="Arial"/>
          <w:sz w:val="18"/>
          <w:szCs w:val="18"/>
          <w:color w:val="000000"/>
        </w:rPr>
        <w:t>income tax rate is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approximately (170.4)% for the three months ended March 31, 2017 as compared to approximately 38.4% for the three months ended March 31, 2016.</w:t>
      </w:r>
    </w:p>
    <w:p>
      <w:pPr>
        <w:spacing w:after="0" w:line="1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As of December 31, 2016, the Company had federal and state net operating loss carryforwards of approximately $6.0 million and $ 0.5 million. In addition, in the three months ended March 31, 2017, the Company generated approximately $38.4 million of future tax benefits which can be used to offset federal and state taxable income.</w:t>
      </w:r>
    </w:p>
    <w:p>
      <w:pPr>
        <w:spacing w:after="0" w:line="202"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 xml:space="preserve">As of March 31, 2017, the Company had unrecognized tax benefits of </w:t>
      </w:r>
      <w:r>
        <w:rPr>
          <w:rFonts w:ascii="Arial" w:cs="Arial" w:eastAsia="Arial" w:hAnsi="Arial"/>
          <w:sz w:val="18"/>
          <w:szCs w:val="18"/>
          <w:color w:val="000000"/>
        </w:rPr>
        <w:t>$4.5 million</w:t>
      </w:r>
      <w:r>
        <w:rPr>
          <w:rFonts w:ascii="Arial" w:cs="Arial" w:eastAsia="Arial" w:hAnsi="Arial"/>
          <w:sz w:val="18"/>
          <w:szCs w:val="18"/>
          <w:color w:val="231F20"/>
        </w:rPr>
        <w:t xml:space="preserve">, of which </w:t>
      </w:r>
      <w:r>
        <w:rPr>
          <w:rFonts w:ascii="Arial" w:cs="Arial" w:eastAsia="Arial" w:hAnsi="Arial"/>
          <w:sz w:val="18"/>
          <w:szCs w:val="18"/>
          <w:color w:val="000000"/>
        </w:rPr>
        <w:t>$0.7 million</w:t>
      </w:r>
      <w:r>
        <w:rPr>
          <w:rFonts w:ascii="Arial" w:cs="Arial" w:eastAsia="Arial" w:hAnsi="Arial"/>
          <w:sz w:val="18"/>
          <w:szCs w:val="18"/>
          <w:color w:val="231F20"/>
        </w:rPr>
        <w:t>, if recognized, would favorably impact the Company's effective tax rate. As of December 31, 2016, the Company had unrecognized tax benefits of $4.1 million, of which $2.5 million, if recognized, would favorably impact the Company's effective tax rate.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does not anticipate a material change in its unrecognized tax benefits in the next 12 months.</w:t>
      </w:r>
    </w:p>
    <w:p>
      <w:pPr>
        <w:spacing w:after="0" w:line="22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a result of the adoption of ASU 2016-09 in the first quarter of 2017, the Company recorded a cumulative effect adjustment to increase retained earnings by $8.4 million with a corresponding increase to deferred tax assets for the Federal and state net operating losses attributable to excess tax benefits from stock-based compensation which had not been previously recognized. All excess tax benefits and deficiencies in the current and future periods will be recognized as income tax expense in the Company’s Consolidated Statement of Operations in the reporting period in which they occur. This will result in increased volatility in the Company’s effective tax rate. For the three months ended March 31, 2017, the Company recognized a benefit of $16.1 million related to the excess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37,461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15,660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13,559</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53,121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30,733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8,668</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80"/>
        </w:trPr>
        <w:tc>
          <w:tcPr>
            <w:tcW w:w="8340" w:type="dxa"/>
            <w:vAlign w:val="bottom"/>
          </w:tcPr>
          <w:p>
            <w:pPr>
              <w:ind w:left="40"/>
              <w:spacing w:after="0"/>
              <w:rPr>
                <w:sz w:val="20"/>
                <w:szCs w:val="20"/>
                <w:color w:val="auto"/>
              </w:rPr>
            </w:pPr>
            <w:r>
              <w:rPr>
                <w:rFonts w:ascii="Arial" w:cs="Arial" w:eastAsia="Arial" w:hAnsi="Arial"/>
                <w:sz w:val="16"/>
                <w:szCs w:val="16"/>
                <w:color w:val="auto"/>
              </w:rPr>
              <w:t>Numerator:</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21,930</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340" w:type="dxa"/>
            <w:vAlign w:val="bottom"/>
          </w:tcPr>
          <w:p>
            <w:pPr>
              <w:ind w:left="50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36,493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34,619</w:t>
            </w:r>
          </w:p>
        </w:tc>
      </w:tr>
      <w:tr>
        <w:trPr>
          <w:trHeight w:val="28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340" w:type="dxa"/>
            <w:vAlign w:val="bottom"/>
          </w:tcPr>
          <w:p>
            <w:pPr>
              <w:ind w:left="600"/>
              <w:spacing w:after="0"/>
              <w:rPr>
                <w:sz w:val="20"/>
                <w:szCs w:val="20"/>
                <w:color w:val="auto"/>
              </w:rPr>
            </w:pPr>
            <w:r>
              <w:rPr>
                <w:rFonts w:ascii="Arial" w:cs="Arial" w:eastAsia="Arial" w:hAnsi="Arial"/>
                <w:sz w:val="16"/>
                <w:szCs w:val="16"/>
                <w:color w:val="auto"/>
              </w:rPr>
              <w:t>Common stock options</w:t>
            </w:r>
          </w:p>
        </w:tc>
        <w:tc>
          <w:tcPr>
            <w:tcW w:w="1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3,219</w:t>
            </w:r>
          </w:p>
        </w:tc>
      </w:tr>
      <w:tr>
        <w:trPr>
          <w:trHeight w:val="273"/>
        </w:trPr>
        <w:tc>
          <w:tcPr>
            <w:tcW w:w="83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Restricted stock units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38,845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37,838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0.14</w:t>
            </w:r>
          </w:p>
        </w:tc>
      </w:tr>
      <w:tr>
        <w:trPr>
          <w:trHeight w:val="22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88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2140" w:type="dxa"/>
            <w:vAlign w:val="bottom"/>
            <w:gridSpan w:val="3"/>
          </w:tcPr>
          <w:p>
            <w:pPr>
              <w:jc w:val="center"/>
              <w:ind w:left="90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83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2016, filed with the Securities and Exchange Commission, or SEC, on February 24, 2017.</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0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12"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140" w:firstLine="392"/>
        <w:spacing w:after="0" w:line="251" w:lineRule="auto"/>
        <w:rPr>
          <w:sz w:val="20"/>
          <w:szCs w:val="20"/>
          <w:color w:val="auto"/>
        </w:rPr>
      </w:pPr>
      <w:r>
        <w:rPr>
          <w:rFonts w:ascii="Arial" w:cs="Arial" w:eastAsia="Arial" w:hAnsi="Arial"/>
          <w:sz w:val="18"/>
          <w:szCs w:val="18"/>
          <w:color w:val="auto"/>
        </w:rPr>
        <w:t>IT infrastructures are more complex and more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213"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on endpoints or in the cloud. Our solutions are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right="40" w:firstLine="392"/>
        <w:spacing w:after="0" w:line="256"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Qualys Vulnerability Management (VM), in 2000. Our VM Solutions have provided a substantial majority of our revenues to date, representing 75% for the three months ended March 31, 2017.</w:t>
      </w:r>
    </w:p>
    <w:p>
      <w:pPr>
        <w:spacing w:after="0" w:line="202" w:lineRule="exact"/>
        <w:rPr>
          <w:sz w:val="20"/>
          <w:szCs w:val="20"/>
          <w:color w:val="auto"/>
        </w:rPr>
      </w:pPr>
    </w:p>
    <w:p>
      <w:pPr>
        <w:ind w:right="140" w:firstLine="392"/>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206"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revenues increased to $53.1 million in the three months ended March 31, 2017 from $46.2 million for the comparable period in 2016, representing an increase of $6.9 million or 15%.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6"/>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left="7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64"/>
        </w:trPr>
        <w:tc>
          <w:tcPr>
            <w:tcW w:w="8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47"/>
        </w:trPr>
        <w:tc>
          <w:tcPr>
            <w:tcW w:w="8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6"/>
          </w:tcPr>
          <w:p>
            <w:pPr>
              <w:jc w:val="center"/>
              <w:ind w:right="99"/>
              <w:spacing w:after="0"/>
              <w:rPr>
                <w:sz w:val="20"/>
                <w:szCs w:val="20"/>
                <w:color w:val="auto"/>
              </w:rPr>
            </w:pPr>
            <w:r>
              <w:rPr>
                <w:rFonts w:ascii="Arial" w:cs="Arial" w:eastAsia="Arial" w:hAnsi="Arial"/>
                <w:sz w:val="16"/>
                <w:szCs w:val="16"/>
                <w:b w:val="1"/>
                <w:bCs w:val="1"/>
                <w:color w:val="auto"/>
              </w:rPr>
              <w:t>(in thousands, except percentages)</w:t>
            </w:r>
          </w:p>
        </w:tc>
      </w:tr>
      <w:tr>
        <w:trPr>
          <w:trHeight w:val="26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16,808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16,128</w:t>
            </w: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8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602"/>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left="8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6"/>
          </w:tcPr>
          <w:p>
            <w:pPr>
              <w:jc w:val="center"/>
              <w:spacing w:after="0"/>
              <w:rPr>
                <w:sz w:val="20"/>
                <w:szCs w:val="20"/>
                <w:color w:val="auto"/>
              </w:rPr>
            </w:pPr>
            <w:r>
              <w:rPr>
                <w:rFonts w:ascii="Arial" w:cs="Arial" w:eastAsia="Arial" w:hAnsi="Arial"/>
                <w:sz w:val="16"/>
                <w:szCs w:val="16"/>
                <w:b w:val="1"/>
                <w:bCs w:val="1"/>
                <w:color w:val="auto"/>
              </w:rPr>
              <w:t>(in thousands)</w:t>
            </w:r>
          </w:p>
        </w:tc>
      </w:tr>
      <w:tr>
        <w:trPr>
          <w:trHeight w:val="263"/>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(5) stock-based compensation and (6) other non-recurring adjustments.</w:t>
      </w:r>
    </w:p>
    <w:p>
      <w:pPr>
        <w:spacing w:after="0" w:line="204"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months ended March 31,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21,930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3,724</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4,697</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16,128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540" w:type="dxa"/>
            <w:vAlign w:val="bottom"/>
            <w:gridSpan w:val="4"/>
          </w:tcPr>
          <w:p>
            <w:pPr>
              <w:jc w:val="center"/>
              <w:ind w:left="50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283"/>
        </w:trPr>
        <w:tc>
          <w:tcPr>
            <w:tcW w:w="8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05"/>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247"/>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3"/>
          </w:tcPr>
          <w:p>
            <w:pPr>
              <w:jc w:val="center"/>
              <w:ind w:right="245"/>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w w:val="97"/>
              </w:rPr>
              <w:t>32,425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17,138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Less: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(4,543)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Capitalized software development costs</w:t>
            </w:r>
          </w:p>
        </w:tc>
        <w:tc>
          <w:tcPr>
            <w:tcW w:w="9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4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Free cash flow</w:t>
            </w:r>
          </w:p>
        </w:tc>
        <w:tc>
          <w:tcPr>
            <w:tcW w:w="94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w w:val="97"/>
              </w:rPr>
              <w:t>27,882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12,839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288"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4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31F20"/>
        </w:rPr>
        <w:t>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82"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allocation of overhead costs. We expect to continue to make capital investments to expand and support our data center operations, which will increase the cost of revenues in absolute dollars.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allocation of overhead costs. All research and development costs are expensed as incurred. We expect to continue to devote substantial resources to research and development in an effort to continuously improve our existing solutions as well as develop new solutions and capabilities, which will increase research and development expenses in absolute dollars.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 and maintenance costs for sales-related software, and allocation of overhead costs.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56" w:lineRule="auto"/>
        <w:rPr>
          <w:sz w:val="20"/>
          <w:szCs w:val="20"/>
          <w:color w:val="auto"/>
        </w:rPr>
      </w:pPr>
      <w:r>
        <w:rPr>
          <w:rFonts w:ascii="Arial" w:cs="Arial" w:eastAsia="Arial" w:hAnsi="Arial"/>
          <w:sz w:val="18"/>
          <w:szCs w:val="18"/>
          <w:color w:val="231F20"/>
        </w:rPr>
        <w:t>accounting, legal and human resources support teams, as well as professional services, insurance, fees, and allocation of overhead costs. We expect that general and administrative expenses will increase in absolute dollars, as we continue to add personnel and incur professional services to support our growth and compliance with legal requirements.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4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Taxes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We present our revenues net of sales tax in our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4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834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center"/>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5"/>
          </w:tcPr>
          <w:p>
            <w:pPr>
              <w:jc w:val="center"/>
              <w:ind w:left="4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gridSpan w:val="4"/>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Pr>
          <w:p>
            <w:pPr>
              <w:jc w:val="right"/>
              <w:spacing w:after="0"/>
              <w:rPr>
                <w:sz w:val="20"/>
                <w:szCs w:val="20"/>
                <w:color w:val="auto"/>
              </w:rPr>
            </w:pPr>
            <w:r>
              <w:rPr>
                <w:rFonts w:ascii="Arial" w:cs="Arial" w:eastAsia="Arial" w:hAnsi="Arial"/>
                <w:sz w:val="16"/>
                <w:szCs w:val="16"/>
                <w:color w:val="231F20"/>
              </w:rPr>
              <w:t>$</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53,121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46,248</w:t>
            </w:r>
          </w:p>
        </w:tc>
        <w:tc>
          <w:tcPr>
            <w:tcW w:w="0" w:type="dxa"/>
            <w:vAlign w:val="bottom"/>
          </w:tcPr>
          <w:p>
            <w:pPr>
              <w:spacing w:after="0"/>
              <w:rPr>
                <w:sz w:val="1"/>
                <w:szCs w:val="1"/>
                <w:color w:val="auto"/>
              </w:rPr>
            </w:pPr>
          </w:p>
        </w:tc>
      </w:tr>
      <w:tr>
        <w:trPr>
          <w:trHeight w:val="280"/>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 (2)</w:t>
            </w:r>
          </w:p>
        </w:tc>
        <w:tc>
          <w:tcPr>
            <w:tcW w:w="18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10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12,294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9,551</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8140" w:type="dxa"/>
            <w:vAlign w:val="bottom"/>
            <w:gridSpan w:val="3"/>
          </w:tcPr>
          <w:p>
            <w:pPr>
              <w:ind w:left="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40,827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36,697</w:t>
            </w:r>
          </w:p>
        </w:tc>
        <w:tc>
          <w:tcPr>
            <w:tcW w:w="0" w:type="dxa"/>
            <w:vAlign w:val="bottom"/>
          </w:tcPr>
          <w:p>
            <w:pPr>
              <w:spacing w:after="0"/>
              <w:rPr>
                <w:sz w:val="1"/>
                <w:szCs w:val="1"/>
                <w:color w:val="auto"/>
              </w:rPr>
            </w:pPr>
          </w:p>
        </w:tc>
      </w:tr>
      <w:tr>
        <w:trPr>
          <w:trHeight w:val="280"/>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8140" w:type="dxa"/>
            <w:vAlign w:val="bottom"/>
            <w:gridSpan w:val="3"/>
          </w:tcPr>
          <w:p>
            <w:pPr>
              <w:ind w:left="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231F20"/>
              </w:rPr>
              <w:t>9,823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8,109</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81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16,014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14,167</w:t>
            </w:r>
          </w:p>
        </w:tc>
        <w:tc>
          <w:tcPr>
            <w:tcW w:w="0" w:type="dxa"/>
            <w:vAlign w:val="bottom"/>
          </w:tcPr>
          <w:p>
            <w:pPr>
              <w:spacing w:after="0"/>
              <w:rPr>
                <w:sz w:val="1"/>
                <w:szCs w:val="1"/>
                <w:color w:val="auto"/>
              </w:rPr>
            </w:pPr>
          </w:p>
        </w:tc>
      </w:tr>
      <w:tr>
        <w:trPr>
          <w:trHeight w:val="270"/>
        </w:trPr>
        <w:tc>
          <w:tcPr>
            <w:tcW w:w="200" w:type="dxa"/>
            <w:vAlign w:val="bottom"/>
            <w:tcBorders>
              <w:bottom w:val="single" w:sz="8" w:color="CCEEFF"/>
            </w:tcBorders>
          </w:tcPr>
          <w:p>
            <w:pPr>
              <w:spacing w:after="0"/>
              <w:rPr>
                <w:sz w:val="23"/>
                <w:szCs w:val="23"/>
                <w:color w:val="auto"/>
              </w:rPr>
            </w:pPr>
          </w:p>
        </w:tc>
        <w:tc>
          <w:tcPr>
            <w:tcW w:w="8140" w:type="dxa"/>
            <w:vAlign w:val="bottom"/>
            <w:tcBorders>
              <w:bottom w:val="single" w:sz="8" w:color="CCEEFF"/>
            </w:tcBorders>
            <w:gridSpan w:val="3"/>
          </w:tcPr>
          <w:p>
            <w:pPr>
              <w:ind w:left="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18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7,334</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6,824</w:t>
            </w:r>
          </w:p>
        </w:tc>
        <w:tc>
          <w:tcPr>
            <w:tcW w:w="0" w:type="dxa"/>
            <w:vAlign w:val="bottom"/>
          </w:tcPr>
          <w:p>
            <w:pPr>
              <w:spacing w:after="0"/>
              <w:rPr>
                <w:sz w:val="1"/>
                <w:szCs w:val="1"/>
                <w:color w:val="auto"/>
              </w:rPr>
            </w:pPr>
          </w:p>
        </w:tc>
      </w:tr>
      <w:tr>
        <w:trPr>
          <w:trHeight w:val="244"/>
        </w:trPr>
        <w:tc>
          <w:tcPr>
            <w:tcW w:w="200" w:type="dxa"/>
            <w:vAlign w:val="bottom"/>
            <w:shd w:val="clear" w:color="auto" w:fill="CCEEFF"/>
          </w:tcPr>
          <w:p>
            <w:pPr>
              <w:spacing w:after="0"/>
              <w:rPr>
                <w:sz w:val="21"/>
                <w:szCs w:val="21"/>
                <w:color w:val="auto"/>
              </w:rPr>
            </w:pPr>
          </w:p>
        </w:tc>
        <w:tc>
          <w:tcPr>
            <w:tcW w:w="8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33,171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29,100</w:t>
            </w:r>
          </w:p>
        </w:tc>
        <w:tc>
          <w:tcPr>
            <w:tcW w:w="0" w:type="dxa"/>
            <w:vAlign w:val="bottom"/>
          </w:tcPr>
          <w:p>
            <w:pPr>
              <w:spacing w:after="0"/>
              <w:rPr>
                <w:sz w:val="1"/>
                <w:szCs w:val="1"/>
                <w:color w:val="auto"/>
              </w:rPr>
            </w:pPr>
          </w:p>
        </w:tc>
      </w:tr>
      <w:tr>
        <w:trPr>
          <w:trHeight w:val="247"/>
        </w:trPr>
        <w:tc>
          <w:tcPr>
            <w:tcW w:w="8340" w:type="dxa"/>
            <w:vAlign w:val="bottom"/>
            <w:gridSpan w:val="4"/>
          </w:tcPr>
          <w:p>
            <w:pPr>
              <w:ind w:left="4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7,597</w:t>
            </w:r>
          </w:p>
        </w:tc>
        <w:tc>
          <w:tcPr>
            <w:tcW w:w="0" w:type="dxa"/>
            <w:vAlign w:val="bottom"/>
          </w:tcPr>
          <w:p>
            <w:pPr>
              <w:spacing w:after="0"/>
              <w:rPr>
                <w:sz w:val="1"/>
                <w:szCs w:val="1"/>
                <w:color w:val="auto"/>
              </w:rPr>
            </w:pPr>
          </w:p>
        </w:tc>
      </w:tr>
      <w:tr>
        <w:trPr>
          <w:trHeight w:val="273"/>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47"/>
        </w:trPr>
        <w:tc>
          <w:tcPr>
            <w:tcW w:w="8340" w:type="dxa"/>
            <w:vAlign w:val="bottom"/>
            <w:gridSpan w:val="4"/>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73"/>
        </w:trPr>
        <w:tc>
          <w:tcPr>
            <w:tcW w:w="83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8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(13,821)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2,982</w:t>
            </w:r>
          </w:p>
        </w:tc>
        <w:tc>
          <w:tcPr>
            <w:tcW w:w="0" w:type="dxa"/>
            <w:vAlign w:val="bottom"/>
          </w:tcPr>
          <w:p>
            <w:pPr>
              <w:spacing w:after="0"/>
              <w:rPr>
                <w:sz w:val="1"/>
                <w:szCs w:val="1"/>
                <w:color w:val="auto"/>
              </w:rPr>
            </w:pP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0"/>
        </w:trPr>
        <w:tc>
          <w:tcPr>
            <w:tcW w:w="1260" w:type="dxa"/>
            <w:vAlign w:val="bottom"/>
            <w:gridSpan w:val="3"/>
            <w:vMerge w:val="restart"/>
          </w:tcPr>
          <w:p>
            <w:pPr>
              <w:spacing w:after="0"/>
              <w:rPr>
                <w:sz w:val="20"/>
                <w:szCs w:val="20"/>
                <w:color w:val="auto"/>
              </w:rPr>
            </w:pPr>
            <w:r>
              <w:rPr>
                <w:rFonts w:ascii="Arial" w:cs="Arial" w:eastAsia="Arial" w:hAnsi="Arial"/>
                <w:sz w:val="9"/>
                <w:szCs w:val="9"/>
                <w:color w:val="231F20"/>
              </w:rPr>
              <w:t>____________________</w:t>
            </w: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260" w:type="dxa"/>
            <w:vAlign w:val="bottom"/>
            <w:gridSpan w:val="3"/>
            <w:vMerge w:val="continue"/>
          </w:tcPr>
          <w:p>
            <w:pPr>
              <w:spacing w:after="0"/>
              <w:rPr>
                <w:sz w:val="23"/>
                <w:szCs w:val="23"/>
                <w:color w:val="auto"/>
              </w:rPr>
            </w:pPr>
          </w:p>
        </w:tc>
        <w:tc>
          <w:tcPr>
            <w:tcW w:w="7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20"/>
                <w:szCs w:val="20"/>
                <w:color w:val="auto"/>
              </w:rPr>
            </w:pPr>
            <w:r>
              <w:rPr>
                <w:rFonts w:ascii="Arial" w:cs="Arial" w:eastAsia="Arial" w:hAnsi="Arial"/>
                <w:sz w:val="9"/>
                <w:szCs w:val="9"/>
                <w:color w:val="231F20"/>
              </w:rPr>
              <w:t>(1)</w:t>
            </w:r>
          </w:p>
        </w:tc>
        <w:tc>
          <w:tcPr>
            <w:tcW w:w="8140" w:type="dxa"/>
            <w:vAlign w:val="bottom"/>
            <w:gridSpan w:val="3"/>
            <w:vMerge w:val="restart"/>
          </w:tcPr>
          <w:p>
            <w:pPr>
              <w:ind w:left="460"/>
              <w:spacing w:after="0"/>
              <w:rPr>
                <w:sz w:val="20"/>
                <w:szCs w:val="20"/>
                <w:color w:val="auto"/>
              </w:rPr>
            </w:pPr>
            <w:r>
              <w:rPr>
                <w:rFonts w:ascii="Arial" w:cs="Arial" w:eastAsia="Arial" w:hAnsi="Arial"/>
                <w:sz w:val="14"/>
                <w:szCs w:val="14"/>
                <w:color w:val="231F20"/>
              </w:rPr>
              <w:t>Includes stock-based compensation as follows:</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81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80" w:hanging="652"/>
        <w:spacing w:after="0" w:line="253"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231F20"/>
        </w:rPr>
        <w:t>The Company reclassified certain information technology expenses across the functions that benefit from their support. For the three months ended March 31, 2016, we reclassified $0.6 million out of general and administrative expenses. Of this amount we reclassified $0.1 million to cost of revenues, $0.3 million to research and development and $0.2 million to sales and marketing.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31750</wp:posOffset>
            </wp:positionV>
            <wp:extent cx="2040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7"/>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r>
      <w:tr>
        <w:trPr>
          <w:trHeight w:val="257"/>
        </w:trPr>
        <w:tc>
          <w:tcPr>
            <w:tcW w:w="9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r>
      <w:tr>
        <w:trPr>
          <w:trHeight w:val="260"/>
        </w:trPr>
        <w:tc>
          <w:tcPr>
            <w:tcW w:w="92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9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r>
      <w:tr>
        <w:trPr>
          <w:trHeight w:val="260"/>
        </w:trPr>
        <w:tc>
          <w:tcPr>
            <w:tcW w:w="92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31</w:t>
            </w:r>
          </w:p>
        </w:tc>
      </w:tr>
      <w:tr>
        <w:trPr>
          <w:trHeight w:val="273"/>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50"/>
        </w:trPr>
        <w:tc>
          <w:tcPr>
            <w:tcW w:w="82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r>
      <w:tr>
        <w:trPr>
          <w:trHeight w:val="257"/>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r>
      <w:tr>
        <w:trPr>
          <w:trHeight w:val="257"/>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r>
      <w:tr>
        <w:trPr>
          <w:trHeight w:val="240"/>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2017</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24"/>
                <w:szCs w:val="24"/>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53,121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6,873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21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Revenues increased $6.9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due to new customer subscriptions entered into after March 31, 2016 and from an increase in the purchase of subscriptions from existing customers. Of the total increase of </w:t>
      </w:r>
      <w:r>
        <w:rPr>
          <w:rFonts w:ascii="Arial" w:cs="Arial" w:eastAsia="Arial" w:hAnsi="Arial"/>
          <w:sz w:val="18"/>
          <w:szCs w:val="18"/>
          <w:color w:val="000000"/>
        </w:rPr>
        <w:t>$6.9 million</w:t>
      </w:r>
      <w:r>
        <w:rPr>
          <w:rFonts w:ascii="Arial" w:cs="Arial" w:eastAsia="Arial" w:hAnsi="Arial"/>
          <w:sz w:val="18"/>
          <w:szCs w:val="18"/>
          <w:color w:val="231F20"/>
        </w:rPr>
        <w:t>, $4.8 million was from customers in the United States and the remaining $2.1 million was from customers in foreign countries. The growth in revenues reflects the continued demand for our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jc w:val="center"/>
              <w:ind w:left="1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12,294</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9,551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2,743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0"/>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Cost of revenues increased $2.7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 xml:space="preserve">2016, </w:t>
      </w:r>
      <w:r>
        <w:rPr>
          <w:rFonts w:ascii="Arial" w:cs="Arial" w:eastAsia="Arial" w:hAnsi="Arial"/>
          <w:sz w:val="18"/>
          <w:szCs w:val="18"/>
          <w:color w:val="231F20"/>
        </w:rPr>
        <w:t>primarily due to increased personnel expenses of $1.0 million to support continued growth of our business; a $0.9 million increase in</w:t>
      </w:r>
      <w:r>
        <w:rPr>
          <w:rFonts w:ascii="Arial" w:cs="Arial" w:eastAsia="Arial" w:hAnsi="Arial"/>
          <w:sz w:val="18"/>
          <w:szCs w:val="18"/>
          <w:color w:val="000000"/>
        </w:rPr>
        <w:t xml:space="preserve"> </w:t>
      </w:r>
      <w:r>
        <w:rPr>
          <w:rFonts w:ascii="Arial" w:cs="Arial" w:eastAsia="Arial" w:hAnsi="Arial"/>
          <w:sz w:val="18"/>
          <w:szCs w:val="18"/>
          <w:color w:val="231F20"/>
        </w:rPr>
        <w:t>depreciation expense related to the expansion of our data centers, computer hardware, and software; increased overhead costs of $0.3 million and increased third-party software license and maintenance expense of $0.3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9,823</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8,109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1,714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8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$1.7 million for the three months ended March 31, 2017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2016</w:t>
      </w:r>
      <w:r>
        <w:rPr>
          <w:rFonts w:ascii="Arial" w:cs="Arial" w:eastAsia="Arial" w:hAnsi="Arial"/>
          <w:sz w:val="18"/>
          <w:szCs w:val="18"/>
          <w:color w:val="231F20"/>
        </w:rPr>
        <w:t>, primarily due to an increase in personnel expenses of $1.5 million, driven by the increase in the number of employees,</w:t>
      </w:r>
      <w:r>
        <w:rPr>
          <w:rFonts w:ascii="Arial" w:cs="Arial" w:eastAsia="Arial" w:hAnsi="Arial"/>
          <w:sz w:val="18"/>
          <w:szCs w:val="18"/>
          <w:color w:val="000000"/>
        </w:rPr>
        <w:t xml:space="preserve"> </w:t>
      </w:r>
      <w:r>
        <w:rPr>
          <w:rFonts w:ascii="Arial" w:cs="Arial" w:eastAsia="Arial" w:hAnsi="Arial"/>
          <w:sz w:val="18"/>
          <w:szCs w:val="18"/>
          <w:color w:val="231F20"/>
        </w:rPr>
        <w:t>and increased overhead costs of $0.3 million as we continue to grow. We continue to significantly invest in and expand our research and development teams to continuously improve our platform and existing solutions, as well as develop new solutions and capabilities.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16,014</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14,167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1,847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231F20"/>
        </w:rPr>
        <w:t xml:space="preserve">Sales and marketing expenses increased $1.8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2016</w:t>
      </w:r>
      <w:r>
        <w:rPr>
          <w:rFonts w:ascii="Arial" w:cs="Arial" w:eastAsia="Arial" w:hAnsi="Arial"/>
          <w:sz w:val="18"/>
          <w:szCs w:val="18"/>
          <w:color w:val="231F20"/>
        </w:rPr>
        <w:t>, primarily due to increased personnel expenses of $1.0 million, principally due to an increase in the number of employees;</w:t>
      </w:r>
      <w:r>
        <w:rPr>
          <w:rFonts w:ascii="Arial" w:cs="Arial" w:eastAsia="Arial" w:hAnsi="Arial"/>
          <w:sz w:val="18"/>
          <w:szCs w:val="18"/>
          <w:color w:val="000000"/>
        </w:rPr>
        <w:t xml:space="preserve"> </w:t>
      </w:r>
      <w:r>
        <w:rPr>
          <w:rFonts w:ascii="Arial" w:cs="Arial" w:eastAsia="Arial" w:hAnsi="Arial"/>
          <w:sz w:val="18"/>
          <w:szCs w:val="18"/>
          <w:color w:val="231F20"/>
        </w:rPr>
        <w:t>increased overhead costs of $0.5 million; and increased software license fees, maintenance fees and training expenses of $0.3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7,334</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6,824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510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$0.5 million for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2016</w:t>
      </w:r>
      <w:r>
        <w:rPr>
          <w:rFonts w:ascii="Arial" w:cs="Arial" w:eastAsia="Arial" w:hAnsi="Arial"/>
          <w:sz w:val="18"/>
          <w:szCs w:val="18"/>
          <w:color w:val="231F20"/>
        </w:rPr>
        <w:t>, primarily driven by increased employer payroll taxes of $0.7 million resulting from stock option exercises during the</w:t>
      </w:r>
      <w:r>
        <w:rPr>
          <w:rFonts w:ascii="Arial" w:cs="Arial" w:eastAsia="Arial" w:hAnsi="Arial"/>
          <w:sz w:val="18"/>
          <w:szCs w:val="18"/>
          <w:color w:val="000000"/>
        </w:rPr>
        <w:t xml:space="preserve"> </w:t>
      </w:r>
      <w:r>
        <w:rPr>
          <w:rFonts w:ascii="Arial" w:cs="Arial" w:eastAsia="Arial" w:hAnsi="Arial"/>
          <w:sz w:val="18"/>
          <w:szCs w:val="18"/>
          <w:color w:val="231F20"/>
        </w:rPr>
        <w:t>quarter ended March 31, 2017. This increase was partially offset by lower professional services of $0.1 million and lower bad debt of $0.1 million.</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6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453</w:t>
            </w:r>
          </w:p>
        </w:tc>
        <w:tc>
          <w:tcPr>
            <w:tcW w:w="106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285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51"/>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ind w:right="260" w:firstLine="486"/>
        <w:spacing w:after="0" w:line="291" w:lineRule="auto"/>
        <w:rPr>
          <w:sz w:val="20"/>
          <w:szCs w:val="20"/>
          <w:color w:val="auto"/>
        </w:rPr>
      </w:pPr>
      <w:r>
        <w:rPr>
          <w:rFonts w:ascii="Arial" w:cs="Arial" w:eastAsia="Arial" w:hAnsi="Arial"/>
          <w:sz w:val="17"/>
          <w:szCs w:val="17"/>
          <w:color w:val="231F20"/>
        </w:rPr>
        <w:t>Total other income (expense), net increased by $0.3 million for the three months ended March 31, 2017 compared to the three months ended March 31, 2016, primarily due to an increase in interest income as our cash and investment balances increased year over year.</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3"/>
        </w:trPr>
        <w:tc>
          <w:tcPr>
            <w:tcW w:w="4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4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(13,821)</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(16,803)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51"/>
        </w:trPr>
        <w:tc>
          <w:tcPr>
            <w:tcW w:w="49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(170.4)%</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62"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 xml:space="preserve">We recorded an income tax benefit of $13.8 million and income tax provision of $3.0 million for the three months ended March 31, 2017 and 2016, respectively. The decrease in the tax provision for the three months ended March 31, 2017 is primarily due to the recognition of excess tax benefits related to stock-based compensation as a result of the adoption of ASU 2016-09, </w:t>
      </w:r>
      <w:r>
        <w:rPr>
          <w:rFonts w:ascii="Arial" w:cs="Arial" w:eastAsia="Arial" w:hAnsi="Arial"/>
          <w:sz w:val="18"/>
          <w:szCs w:val="18"/>
          <w:i w:val="1"/>
          <w:iCs w:val="1"/>
          <w:color w:val="231F20"/>
        </w:rPr>
        <w:t>Compensation - Stock Compensation</w:t>
      </w:r>
      <w:r>
        <w:rPr>
          <w:rFonts w:ascii="Arial" w:cs="Arial" w:eastAsia="Arial" w:hAnsi="Arial"/>
          <w:sz w:val="18"/>
          <w:szCs w:val="18"/>
          <w:color w:val="231F20"/>
        </w:rPr>
        <w:t xml:space="preserve"> </w:t>
      </w:r>
      <w:r>
        <w:rPr>
          <w:rFonts w:ascii="Arial" w:cs="Arial" w:eastAsia="Arial" w:hAnsi="Arial"/>
          <w:sz w:val="18"/>
          <w:szCs w:val="18"/>
          <w:i w:val="1"/>
          <w:iCs w:val="1"/>
          <w:color w:val="231F20"/>
        </w:rPr>
        <w:t>(Topic 718): Improvements to Employee Share-Based Payment Accounting</w:t>
      </w:r>
      <w:r>
        <w:rPr>
          <w:rFonts w:ascii="Arial" w:cs="Arial" w:eastAsia="Arial" w:hAnsi="Arial"/>
          <w:sz w:val="18"/>
          <w:szCs w:val="18"/>
          <w:color w:val="231F20"/>
        </w:rPr>
        <w:t>, (ASU 2016-09) intended to simplify and improve various aspects</w:t>
      </w:r>
      <w:r>
        <w:rPr>
          <w:rFonts w:ascii="Arial" w:cs="Arial" w:eastAsia="Arial" w:hAnsi="Arial"/>
          <w:sz w:val="18"/>
          <w:szCs w:val="18"/>
          <w:i w:val="1"/>
          <w:iCs w:val="1"/>
          <w:color w:val="231F20"/>
        </w:rPr>
        <w:t xml:space="preserve"> </w:t>
      </w:r>
      <w:r>
        <w:rPr>
          <w:rFonts w:ascii="Arial" w:cs="Arial" w:eastAsia="Arial" w:hAnsi="Arial"/>
          <w:sz w:val="18"/>
          <w:szCs w:val="18"/>
          <w:color w:val="231F20"/>
        </w:rPr>
        <w:t>related to how employee-share based payment transactions are accounted for and presented in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2017</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$308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$3.5 million held outside of the United States by our foreign subsidiaries. We do not intend to repatriate these funds generated</w:t>
      </w:r>
      <w:r>
        <w:rPr>
          <w:rFonts w:ascii="Arial" w:cs="Arial" w:eastAsia="Arial" w:hAnsi="Arial"/>
          <w:sz w:val="18"/>
          <w:szCs w:val="18"/>
          <w:color w:val="000000"/>
        </w:rPr>
        <w:t xml:space="preserve"> </w:t>
      </w:r>
      <w:r>
        <w:rPr>
          <w:rFonts w:ascii="Arial" w:cs="Arial" w:eastAsia="Arial" w:hAnsi="Arial"/>
          <w:sz w:val="18"/>
          <w:szCs w:val="18"/>
          <w:color w:val="231F20"/>
        </w:rPr>
        <w:t>from foreign operations to fund our domestic operations.</w:t>
      </w:r>
    </w:p>
    <w:p>
      <w:pPr>
        <w:spacing w:after="0" w:line="202"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We have experienced positive cash flows from operations during the three months ended March 31, 2017 and 2016. We believe our existing cash, cash equivalents, short-term and long-term investments, and cash from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231F20"/>
        </w:rPr>
        <w:t>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32,425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17,138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(1,573)</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5,208</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22,914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20,773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$32.4 million</w:t>
      </w:r>
      <w:r>
        <w:rPr>
          <w:rFonts w:ascii="Arial" w:cs="Arial" w:eastAsia="Arial" w:hAnsi="Arial"/>
          <w:sz w:val="18"/>
          <w:szCs w:val="18"/>
          <w:color w:val="231F20"/>
        </w:rPr>
        <w:t xml:space="preserve"> primarily resulted from our net income of approximately $ 21.9 million, as adjusted by an increase in deferred revenues of </w:t>
      </w:r>
      <w:r>
        <w:rPr>
          <w:rFonts w:ascii="Arial" w:cs="Arial" w:eastAsia="Arial" w:hAnsi="Arial"/>
          <w:sz w:val="18"/>
          <w:szCs w:val="18"/>
          <w:color w:val="000000"/>
        </w:rPr>
        <w:t>$8.0 million</w:t>
      </w:r>
      <w:r>
        <w:rPr>
          <w:rFonts w:ascii="Arial" w:cs="Arial" w:eastAsia="Arial" w:hAnsi="Arial"/>
          <w:sz w:val="18"/>
          <w:szCs w:val="18"/>
          <w:color w:val="231F20"/>
        </w:rPr>
        <w:t xml:space="preserve"> attributable to our continued growth, and a decrease of our accounts receivable of $5.4 million. These working capital increases were further increased by non-cash items including excess tax benefits included in deferred tax assets of $8.4 million, depreciation and amortization expense of </w:t>
      </w:r>
      <w:r>
        <w:rPr>
          <w:rFonts w:ascii="Arial" w:cs="Arial" w:eastAsia="Arial" w:hAnsi="Arial"/>
          <w:sz w:val="18"/>
          <w:szCs w:val="18"/>
          <w:color w:val="000000"/>
        </w:rPr>
        <w:t>$ 4.8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$4.3 million</w:t>
      </w:r>
      <w:r>
        <w:rPr>
          <w:rFonts w:ascii="Arial" w:cs="Arial" w:eastAsia="Arial" w:hAnsi="Arial"/>
          <w:sz w:val="18"/>
          <w:szCs w:val="18"/>
          <w:color w:val="231F20"/>
        </w:rPr>
        <w:t>. These increases were partially offset by additions to deferred income tax assets of $22.6 million.</w:t>
      </w:r>
    </w:p>
    <w:p>
      <w:pPr>
        <w:spacing w:after="0" w:line="206" w:lineRule="exact"/>
        <w:rPr>
          <w:sz w:val="20"/>
          <w:szCs w:val="20"/>
          <w:color w:val="auto"/>
        </w:rPr>
      </w:pPr>
    </w:p>
    <w:p>
      <w:pPr>
        <w:ind w:right="80" w:firstLine="486"/>
        <w:spacing w:after="0" w:line="250"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$17.1 million</w:t>
      </w:r>
      <w:r>
        <w:rPr>
          <w:rFonts w:ascii="Arial" w:cs="Arial" w:eastAsia="Arial" w:hAnsi="Arial"/>
          <w:sz w:val="18"/>
          <w:szCs w:val="18"/>
          <w:color w:val="231F20"/>
        </w:rPr>
        <w:t xml:space="preserve"> resulted from our net income of approximately $4.8 million, as adjusted by an increase in deferred revenues of </w:t>
      </w:r>
      <w:r>
        <w:rPr>
          <w:rFonts w:ascii="Arial" w:cs="Arial" w:eastAsia="Arial" w:hAnsi="Arial"/>
          <w:sz w:val="18"/>
          <w:szCs w:val="18"/>
          <w:color w:val="000000"/>
        </w:rPr>
        <w:t>$2.1 million</w:t>
      </w:r>
      <w:r>
        <w:rPr>
          <w:rFonts w:ascii="Arial" w:cs="Arial" w:eastAsia="Arial" w:hAnsi="Arial"/>
          <w:sz w:val="18"/>
          <w:szCs w:val="18"/>
          <w:color w:val="231F20"/>
        </w:rPr>
        <w:t xml:space="preserve">, attributable to our continued growth, an increase in accounts payable and accrued liabilities of $4.8 million and by non-cash items including depreciation and amortization expense of </w:t>
      </w:r>
      <w:r>
        <w:rPr>
          <w:rFonts w:ascii="Arial" w:cs="Arial" w:eastAsia="Arial" w:hAnsi="Arial"/>
          <w:sz w:val="18"/>
          <w:szCs w:val="18"/>
          <w:color w:val="000000"/>
        </w:rPr>
        <w:t>$3.8 million</w:t>
      </w:r>
      <w:r>
        <w:rPr>
          <w:rFonts w:ascii="Arial" w:cs="Arial" w:eastAsia="Arial" w:hAnsi="Arial"/>
          <w:sz w:val="18"/>
          <w:szCs w:val="18"/>
          <w:color w:val="231F20"/>
        </w:rPr>
        <w:t xml:space="preserve"> and stock-based compensation expense of $4.7 million. These increases were partially offset by an increase in accounts receivable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$0.2 million, excess tax benefits from stock-based compensation of $3.1 million, and additions to deferred income tax assets of $1.1 million.</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$1.0 million was primarily attributable to $4.5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This increase was partially offset by sales and maturities of investments, net of purchases of $3.5 million.</w:t>
      </w:r>
    </w:p>
    <w:p>
      <w:pPr>
        <w:spacing w:after="0" w:line="202" w:lineRule="exact"/>
        <w:rPr>
          <w:sz w:val="20"/>
          <w:szCs w:val="20"/>
          <w:color w:val="auto"/>
        </w:rPr>
      </w:pPr>
    </w:p>
    <w:p>
      <w:pPr>
        <w:jc w:val="both"/>
        <w:ind w:right="28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used in investing activities of $1.6 million was primarily attributable to </w:t>
      </w:r>
      <w:r>
        <w:rPr>
          <w:rFonts w:ascii="Arial" w:cs="Arial" w:eastAsia="Arial" w:hAnsi="Arial"/>
          <w:sz w:val="18"/>
          <w:szCs w:val="18"/>
          <w:color w:val="000000"/>
        </w:rPr>
        <w:t>$4.2 million of</w:t>
      </w:r>
      <w:r>
        <w:rPr>
          <w:rFonts w:ascii="Arial" w:cs="Arial" w:eastAsia="Arial" w:hAnsi="Arial"/>
          <w:sz w:val="18"/>
          <w:szCs w:val="18"/>
          <w:color w:val="231F20"/>
        </w:rPr>
        <w:t xml:space="preserve"> </w:t>
      </w:r>
      <w:r>
        <w:rPr>
          <w:rFonts w:ascii="Arial" w:cs="Arial" w:eastAsia="Arial" w:hAnsi="Arial"/>
          <w:sz w:val="18"/>
          <w:szCs w:val="18"/>
          <w:color w:val="000000"/>
        </w:rPr>
        <w:t>cash used for capital expenditures, including computer hardware and software for our data centers to support our growth and development, and physical scanner appliances provided to certain customers as part of their subscriptions, and sales and maturities of investments, net of purchases of $2.7 million.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$8.5 million</w:t>
      </w:r>
      <w:r>
        <w:rPr>
          <w:rFonts w:ascii="Arial" w:cs="Arial" w:eastAsia="Arial" w:hAnsi="Arial"/>
          <w:sz w:val="18"/>
          <w:szCs w:val="18"/>
          <w:color w:val="231F20"/>
        </w:rPr>
        <w:t xml:space="preserve"> was primarily attributable to payments for taxes related to employee net share settlement of equity awards of $14.1 million, partially offset by the proceeds from the exercise of stock options of $5.6 million.</w:t>
      </w:r>
    </w:p>
    <w:p>
      <w:pPr>
        <w:spacing w:after="0" w:line="202"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$ 5.2 million</w:t>
      </w:r>
      <w:r>
        <w:rPr>
          <w:rFonts w:ascii="Arial" w:cs="Arial" w:eastAsia="Arial" w:hAnsi="Arial"/>
          <w:sz w:val="18"/>
          <w:szCs w:val="18"/>
          <w:color w:val="231F20"/>
        </w:rPr>
        <w:t xml:space="preserve"> was primarily attributable to $3.1 million of tax benefit from exercise of stock options and </w:t>
      </w:r>
      <w:r>
        <w:rPr>
          <w:rFonts w:ascii="Arial" w:cs="Arial" w:eastAsia="Arial" w:hAnsi="Arial"/>
          <w:sz w:val="18"/>
          <w:szCs w:val="18"/>
          <w:color w:val="000000"/>
        </w:rPr>
        <w:t>$2.1 million</w:t>
      </w:r>
      <w:r>
        <w:rPr>
          <w:rFonts w:ascii="Arial" w:cs="Arial" w:eastAsia="Arial" w:hAnsi="Arial"/>
          <w:sz w:val="18"/>
          <w:szCs w:val="18"/>
          <w:color w:val="231F20"/>
        </w:rPr>
        <w:t xml:space="preserve"> of proceeds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March 31, 2017</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 and</w:t>
            </w:r>
          </w:p>
        </w:tc>
      </w:tr>
      <w:tr>
        <w:trPr>
          <w:trHeight w:val="180"/>
        </w:trPr>
        <w:tc>
          <w:tcPr>
            <w:tcW w:w="47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980" w:type="dxa"/>
            <w:vAlign w:val="bottom"/>
          </w:tcPr>
          <w:p>
            <w:pPr>
              <w:jc w:val="right"/>
              <w:ind w:right="359"/>
              <w:spacing w:after="0" w:line="181" w:lineRule="exact"/>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2020-2021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7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50,199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26,130</w:t>
            </w:r>
          </w:p>
        </w:tc>
      </w:tr>
      <w:tr>
        <w:trPr>
          <w:trHeight w:val="234"/>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50,199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11,033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9,482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26,130</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On October 14, 2016, we entered into a lease agreement (included in the table above) for our new headquarter office facility. The lease commences on May 1, 2018 and has a ten -year term through April 2028. The total commitment of $38.6 million is payable monthly with escalating rental payments throughout the lease term. We will be provided access to the facility in the first half of 2017 to begin construction of certain leasehold improvements.</w:t>
      </w:r>
    </w:p>
    <w:p>
      <w:pPr>
        <w:spacing w:after="0" w:line="204"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231F20"/>
        </w:rPr>
        <w:t>In connection with this lease, we have provided the landlord with a $1.2 million standby letter of credit (classified as restricted cash) to secure our obligations through the end of the lease term.</w:t>
      </w:r>
    </w:p>
    <w:p>
      <w:pPr>
        <w:spacing w:after="0" w:line="1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three months ended March 31, 2017</w:t>
      </w:r>
      <w:r>
        <w:rPr>
          <w:rFonts w:ascii="Arial" w:cs="Arial" w:eastAsia="Arial" w:hAnsi="Arial"/>
          <w:sz w:val="18"/>
          <w:szCs w:val="18"/>
          <w:color w:val="231F20"/>
        </w:rPr>
        <w:t>, we made regular payments on our operating lease obligations of $1.3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2016, filed with the SEC on February 24, 2017,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$308 million in cash, cash equivalents and short-term and long-term investments at March 31, 2017.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2017,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93" w:lineRule="exact"/>
        <w:rPr>
          <w:sz w:val="20"/>
          <w:szCs w:val="20"/>
          <w:color w:val="auto"/>
        </w:rPr>
      </w:pPr>
    </w:p>
    <w:p>
      <w:pPr>
        <w:jc w:val="both"/>
        <w:ind w:right="8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right="180" w:firstLine="392"/>
        <w:spacing w:after="0" w:line="256" w:lineRule="auto"/>
        <w:rPr>
          <w:sz w:val="20"/>
          <w:szCs w:val="20"/>
          <w:color w:val="auto"/>
        </w:rPr>
      </w:pPr>
      <w:r>
        <w:rPr>
          <w:rFonts w:ascii="Arial" w:cs="Arial" w:eastAsia="Arial" w:hAnsi="Arial"/>
          <w:sz w:val="18"/>
          <w:szCs w:val="18"/>
          <w:color w:val="231F20"/>
        </w:rPr>
        <w:t xml:space="preserve">We derived approximately 75% of our revenues from subscriptions to our core Vulnerability Management solutions for the three months ended March 31, 2017. In the three months ended March 31, 2017 and </w:t>
      </w:r>
      <w:r>
        <w:rPr>
          <w:rFonts w:ascii="Arial" w:cs="Arial" w:eastAsia="Arial" w:hAnsi="Arial"/>
          <w:sz w:val="18"/>
          <w:szCs w:val="18"/>
          <w:color w:val="000000"/>
        </w:rPr>
        <w:t>2016</w:t>
      </w:r>
      <w:r>
        <w:rPr>
          <w:rFonts w:ascii="Arial" w:cs="Arial" w:eastAsia="Arial" w:hAnsi="Arial"/>
          <w:sz w:val="18"/>
          <w:szCs w:val="18"/>
          <w:color w:val="231F20"/>
        </w:rPr>
        <w:t>, our VM Solutions included revenues from VM, Private Cloud Platform, Continuous Monitoring, Cloud Agent for VM, AssetView, and ThreatPROTECT.</w:t>
      </w:r>
    </w:p>
    <w:p>
      <w:pPr>
        <w:spacing w:after="0" w:line="20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ind w:right="60"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41" w:right="3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right="580" w:hanging="328"/>
        <w:spacing w:after="0" w:line="3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invoicing or change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74"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41" w:right="2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79"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40"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40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such as Policy Compliance, PCI Compliance, Security Assessment Questionnaire, Web Application Scanning, and Web Application Firewall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6"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ind w:right="38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20"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39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380"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392"/>
        <w:spacing w:after="0" w:line="262"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231F20"/>
        </w:rPr>
        <w:t>competition for each of our solutions from companies with broad product suites and greater name recognition and resources than we have, as well as from small companies focused on specialized security solutions.</w:t>
      </w:r>
    </w:p>
    <w:p>
      <w:pPr>
        <w:spacing w:after="0" w:line="196" w:lineRule="exact"/>
        <w:rPr>
          <w:sz w:val="20"/>
          <w:szCs w:val="20"/>
          <w:color w:val="auto"/>
        </w:rPr>
      </w:pPr>
    </w:p>
    <w:p>
      <w:pPr>
        <w:ind w:right="320" w:firstLine="392"/>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60"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74" w:lineRule="exact"/>
        <w:rPr>
          <w:sz w:val="20"/>
          <w:szCs w:val="20"/>
          <w:color w:val="auto"/>
        </w:rPr>
      </w:pPr>
    </w:p>
    <w:p>
      <w:pPr>
        <w:ind w:right="400"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20" w:firstLine="392"/>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41" w:right="27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02" w:lineRule="exact"/>
        <w:rPr>
          <w:sz w:val="20"/>
          <w:szCs w:val="20"/>
          <w:color w:val="auto"/>
        </w:rPr>
      </w:pPr>
    </w:p>
    <w:p>
      <w:pPr>
        <w:ind w:right="400"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200" w:firstLine="392"/>
        <w:spacing w:after="0" w:line="26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06" w:lineRule="exact"/>
        <w:rPr>
          <w:sz w:val="20"/>
          <w:szCs w:val="20"/>
          <w:color w:val="auto"/>
        </w:rPr>
      </w:pPr>
    </w:p>
    <w:p>
      <w:pPr>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1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left="660" w:right="660"/>
        <w:spacing w:after="0" w:line="309" w:lineRule="auto"/>
        <w:rPr>
          <w:sz w:val="20"/>
          <w:szCs w:val="20"/>
          <w:color w:val="auto"/>
        </w:rPr>
      </w:pPr>
      <w:r>
        <w:rPr>
          <w:rFonts w:ascii="Arial" w:cs="Arial" w:eastAsia="Arial" w:hAnsi="Arial"/>
          <w:sz w:val="18"/>
          <w:szCs w:val="18"/>
          <w:color w:val="auto"/>
        </w:rPr>
        <w:t>regulatory or contractual limitations on our ability to sell our solutions in certain foreign markets, and the risks and costs of non-compliance;</w:t>
      </w:r>
    </w:p>
    <w:p>
      <w:pPr>
        <w:spacing w:after="0" w:line="61" w:lineRule="exact"/>
        <w:rPr>
          <w:sz w:val="20"/>
          <w:szCs w:val="20"/>
          <w:color w:val="auto"/>
        </w:rPr>
      </w:pPr>
    </w:p>
    <w:p>
      <w:pPr>
        <w:ind w:left="660" w:right="2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 xml:space="preserve">In addition, as of March </w:t>
      </w:r>
      <w:r>
        <w:rPr>
          <w:rFonts w:ascii="Arial" w:cs="Arial" w:eastAsia="Arial" w:hAnsi="Arial"/>
          <w:sz w:val="18"/>
          <w:szCs w:val="18"/>
          <w:color w:val="000000"/>
        </w:rPr>
        <w:t>31, 2017</w:t>
      </w:r>
      <w:r>
        <w:rPr>
          <w:rFonts w:ascii="Arial" w:cs="Arial" w:eastAsia="Arial" w:hAnsi="Arial"/>
          <w:sz w:val="18"/>
          <w:szCs w:val="18"/>
          <w:color w:val="231F20"/>
        </w:rPr>
        <w:t>, approximately 51%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431 employees at the beginning of </w:t>
      </w:r>
      <w:r>
        <w:rPr>
          <w:rFonts w:ascii="Arial" w:cs="Arial" w:eastAsia="Arial" w:hAnsi="Arial"/>
          <w:sz w:val="18"/>
          <w:szCs w:val="18"/>
          <w:color w:val="000000"/>
        </w:rPr>
        <w:t xml:space="preserve">2015 </w:t>
      </w:r>
      <w:r>
        <w:rPr>
          <w:rFonts w:ascii="Arial" w:cs="Arial" w:eastAsia="Arial" w:hAnsi="Arial"/>
          <w:sz w:val="18"/>
          <w:szCs w:val="18"/>
          <w:color w:val="231F20"/>
        </w:rPr>
        <w:t>to 721 employees at March</w:t>
      </w:r>
      <w:r>
        <w:rPr>
          <w:rFonts w:ascii="Arial" w:cs="Arial" w:eastAsia="Arial" w:hAnsi="Arial"/>
          <w:sz w:val="18"/>
          <w:szCs w:val="18"/>
          <w:color w:val="000000"/>
        </w:rPr>
        <w:t xml:space="preserve"> 31, 2017</w:t>
      </w:r>
      <w:r>
        <w:rPr>
          <w:rFonts w:ascii="Arial" w:cs="Arial" w:eastAsia="Arial" w:hAnsi="Arial"/>
          <w:sz w:val="18"/>
          <w:szCs w:val="18"/>
          <w:color w:val="231F20"/>
        </w:rPr>
        <w:t>. We rely on information technology systems to help manage critical functions such as order</w:t>
      </w:r>
      <w:r>
        <w:rPr>
          <w:rFonts w:ascii="Arial" w:cs="Arial" w:eastAsia="Arial" w:hAnsi="Arial"/>
          <w:sz w:val="18"/>
          <w:szCs w:val="18"/>
          <w:color w:val="000000"/>
        </w:rPr>
        <w:t xml:space="preserve"> </w:t>
      </w:r>
      <w:r>
        <w:rPr>
          <w:rFonts w:ascii="Arial" w:cs="Arial" w:eastAsia="Arial" w:hAnsi="Arial"/>
          <w:sz w:val="18"/>
          <w:szCs w:val="18"/>
          <w:color w:val="231F20"/>
        </w:rPr>
        <w:t>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three months ended March 31, 2017, we derived approximately </w:t>
      </w:r>
      <w:r>
        <w:rPr>
          <w:rFonts w:ascii="Arial" w:cs="Arial" w:eastAsia="Arial" w:hAnsi="Arial"/>
          <w:sz w:val="18"/>
          <w:szCs w:val="18"/>
          <w:color w:val="000000"/>
        </w:rPr>
        <w:t>41%</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231F20"/>
        </w:rPr>
        <w:t>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ind w:right="320"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three months ended March 31, 2017, we incurred approximately 18% of our expenses outside of the United States in foreign currencies, primarily Euros, British Pounds, and Indian Rupee, principally with respect to salaries and related personnel expenses associated with our European and Indian operations. Additionally, for the three months ended March 31, 2017, approximately 18%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20"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nine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300" w:firstLine="392"/>
        <w:spacing w:after="0" w:line="254"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does not guarantee that we have an absolute right to practice the patented invention. As a result, we may not be able to obtain adequate patent protection or to enforce our issued patents effectively.</w:t>
      </w:r>
    </w:p>
    <w:p>
      <w:pPr>
        <w:spacing w:after="0" w:line="196"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40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392"/>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80"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 xml:space="preserve">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41" w:right="29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$31.5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Increases in our effective tax rate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2016,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right="720" w:hanging="328"/>
        <w:spacing w:after="0" w:line="3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6" w:lineRule="exact"/>
        <w:rPr>
          <w:sz w:val="20"/>
          <w:szCs w:val="20"/>
          <w:color w:val="auto"/>
        </w:rPr>
      </w:pPr>
    </w:p>
    <w:p>
      <w:pPr>
        <w:ind w:right="120"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These estimates include, but are not limited to, certain items such as the amount and timing of income tax credits that we recognize resulting from excess tax benefits from stock-based compensation. Our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6"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of March 31, 2017, our executive officers, directors and holders of 10% or more of our outstanding common stock beneficially owned, in the aggregate, approximately 16%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2017, we had approximately 37.0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In addition, as of March 31, 2017, there were approximately 0.6 million of restricted stock units and options to purchase approximately 5.9 million shares of our common stock outstanding. If such restricted stock units are released or options are exercised, these additional shares will become available for sale. As of March 31, 2017, we had an aggregate of 3.2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right="1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141"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May 4, 2017.</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firstLine="215"/>
        <w:spacing w:after="0" w:line="465" w:lineRule="auto"/>
        <w:rPr>
          <w:sz w:val="20"/>
          <w:szCs w:val="20"/>
          <w:color w:val="auto"/>
        </w:rPr>
      </w:pPr>
      <w:r>
        <w:rPr>
          <w:rFonts w:ascii="Arial" w:cs="Arial" w:eastAsia="Arial" w:hAnsi="Arial"/>
          <w:sz w:val="18"/>
          <w:szCs w:val="18"/>
          <w:color w:val="auto"/>
        </w:rPr>
        <w:t>Exhibit Number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46" w:lineRule="exact"/>
        <w:rPr>
          <w:sz w:val="20"/>
          <w:szCs w:val="20"/>
          <w:color w:val="auto"/>
        </w:rPr>
      </w:pPr>
    </w:p>
    <w:p>
      <w:pPr>
        <w:ind w:left="3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right="60" w:hanging="323"/>
        <w:spacing w:after="0" w:line="246" w:lineRule="auto"/>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 and 18 U.S.C. Section 1350 as adopted pursuant to Section 906 of The Sarbanes-Oxley Act of 2002.</w:t>
      </w:r>
    </w:p>
    <w:p>
      <w:pPr>
        <w:spacing w:after="0" w:line="278" w:lineRule="exact"/>
        <w:rPr>
          <w:sz w:val="20"/>
          <w:szCs w:val="20"/>
          <w:color w:val="auto"/>
        </w:rPr>
      </w:pPr>
    </w:p>
    <w:p>
      <w:pPr>
        <w:ind w:left="320" w:right="60" w:hanging="323"/>
        <w:spacing w:after="0" w:line="246" w:lineRule="auto"/>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 and 18 U.S.C. Section 1350 as adopted pursuant to Section 906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480" w:space="400"/>
            <w:col w:w="9380"/>
          </w:cols>
          <w:pgMar w:left="240" w:top="141" w:right="399" w:bottom="1440" w:gutter="0" w:footer="0" w:header="0"/>
        </w:sectPr>
      </w:pPr>
    </w:p>
    <w:p>
      <w:pPr>
        <w:spacing w:after="0" w:line="66" w:lineRule="exact"/>
        <w:rPr>
          <w:sz w:val="20"/>
          <w:szCs w:val="20"/>
          <w:color w:val="auto"/>
        </w:rPr>
      </w:pPr>
    </w:p>
    <w:p>
      <w:pPr>
        <w:ind w:left="500" w:hanging="492"/>
        <w:spacing w:after="0" w:line="254" w:lineRule="auto"/>
        <w:tabs>
          <w:tab w:leader="none" w:pos="5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141" w:right="39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0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17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4, 2017</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0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17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2017</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2017,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4, 2017</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2017,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2019-12-29T05:58:04Z</dcterms:created>
  <dcterms:modified xsi:type="dcterms:W3CDTF">2019-12-29T05:58:04Z</dcterms:modified>
</cp:coreProperties>
</file>