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5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4" w:lineRule="exact"/>
        <w:rPr>
          <w:sz w:val="24"/>
          <w:szCs w:val="24"/>
          <w:color w:val="auto"/>
        </w:rPr>
      </w:pPr>
    </w:p>
    <w:p>
      <w:pPr>
        <w:ind w:left="380" w:hanging="345"/>
        <w:spacing w:after="0"/>
        <w:tabs>
          <w:tab w:leader="none" w:pos="3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2"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Arial" w:cs="Arial" w:eastAsia="Arial" w:hAnsi="Arial"/>
          <w:sz w:val="16"/>
          <w:szCs w:val="16"/>
          <w:b w:val="1"/>
          <w:bCs w:val="1"/>
          <w:color w:val="auto"/>
        </w:rPr>
        <w:t>For the Quarterly Period Ended June 30, 2016</w:t>
      </w:r>
    </w:p>
    <w:p>
      <w:pPr>
        <w:spacing w:after="0" w:line="365" w:lineRule="exact"/>
        <w:rPr>
          <w:sz w:val="24"/>
          <w:szCs w:val="24"/>
          <w:color w:val="auto"/>
        </w:rPr>
      </w:pPr>
    </w:p>
    <w:p>
      <w:pPr>
        <w:ind w:left="540" w:hanging="505"/>
        <w:spacing w:after="0"/>
        <w:tabs>
          <w:tab w:leader="none" w:pos="5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2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2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11"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2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0"/>
        </w:trPr>
        <w:tc>
          <w:tcPr>
            <w:tcW w:w="2160" w:type="dxa"/>
            <w:vAlign w:val="bottom"/>
          </w:tcPr>
          <w:p>
            <w:pPr>
              <w:spacing w:after="0"/>
              <w:rPr>
                <w:sz w:val="24"/>
                <w:szCs w:val="24"/>
                <w:color w:val="auto"/>
              </w:rPr>
            </w:pPr>
          </w:p>
        </w:tc>
        <w:tc>
          <w:tcPr>
            <w:tcW w:w="6140" w:type="dxa"/>
            <w:vAlign w:val="bottom"/>
          </w:tcPr>
          <w:p>
            <w:pPr>
              <w:jc w:val="center"/>
              <w:ind w:right="1833"/>
              <w:spacing w:after="0" w:line="439" w:lineRule="exact"/>
              <w:rPr>
                <w:sz w:val="20"/>
                <w:szCs w:val="20"/>
                <w:color w:val="auto"/>
              </w:rPr>
            </w:pPr>
            <w:r>
              <w:rPr>
                <w:rFonts w:ascii="Arial" w:cs="Arial" w:eastAsia="Arial" w:hAnsi="Arial"/>
                <w:sz w:val="40"/>
                <w:szCs w:val="40"/>
                <w:b w:val="1"/>
                <w:bCs w:val="1"/>
                <w:color w:val="231F20"/>
                <w:w w:val="97"/>
              </w:rPr>
              <w:t>QUALYS, INC.</w:t>
            </w:r>
          </w:p>
        </w:tc>
      </w:tr>
      <w:tr>
        <w:trPr>
          <w:trHeight w:val="150"/>
        </w:trPr>
        <w:tc>
          <w:tcPr>
            <w:tcW w:w="2160" w:type="dxa"/>
            <w:vAlign w:val="bottom"/>
          </w:tcPr>
          <w:p>
            <w:pPr>
              <w:spacing w:after="0"/>
              <w:rPr>
                <w:sz w:val="13"/>
                <w:szCs w:val="13"/>
                <w:color w:val="auto"/>
              </w:rPr>
            </w:pPr>
          </w:p>
        </w:tc>
        <w:tc>
          <w:tcPr>
            <w:tcW w:w="6140" w:type="dxa"/>
            <w:vAlign w:val="bottom"/>
          </w:tcPr>
          <w:p>
            <w:pPr>
              <w:jc w:val="center"/>
              <w:ind w:right="1833"/>
              <w:spacing w:after="0" w:line="151"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53"/>
        </w:trPr>
        <w:tc>
          <w:tcPr>
            <w:tcW w:w="2160" w:type="dxa"/>
            <w:vAlign w:val="bottom"/>
          </w:tcPr>
          <w:p>
            <w:pPr>
              <w:spacing w:after="0"/>
              <w:rPr>
                <w:sz w:val="21"/>
                <w:szCs w:val="21"/>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3"/>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11"/>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202"/>
        </w:trPr>
        <w:tc>
          <w:tcPr>
            <w:tcW w:w="2160" w:type="dxa"/>
            <w:vAlign w:val="bottom"/>
          </w:tcPr>
          <w:p>
            <w:pPr>
              <w:spacing w:after="0"/>
              <w:rPr>
                <w:sz w:val="17"/>
                <w:szCs w:val="17"/>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73"/>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50"/>
        </w:trPr>
        <w:tc>
          <w:tcPr>
            <w:tcW w:w="2160" w:type="dxa"/>
            <w:vAlign w:val="bottom"/>
          </w:tcPr>
          <w:p>
            <w:pPr>
              <w:spacing w:after="0"/>
              <w:rPr>
                <w:sz w:val="13"/>
                <w:szCs w:val="13"/>
                <w:color w:val="auto"/>
              </w:rPr>
            </w:pPr>
          </w:p>
        </w:tc>
        <w:tc>
          <w:tcPr>
            <w:tcW w:w="6140" w:type="dxa"/>
            <w:vAlign w:val="bottom"/>
          </w:tcPr>
          <w:p>
            <w:pPr>
              <w:jc w:val="center"/>
              <w:ind w:right="1813"/>
              <w:spacing w:after="0" w:line="151"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53"/>
        </w:trPr>
        <w:tc>
          <w:tcPr>
            <w:tcW w:w="2160" w:type="dxa"/>
            <w:vAlign w:val="bottom"/>
          </w:tcPr>
          <w:p>
            <w:pPr>
              <w:spacing w:after="0"/>
              <w:rPr>
                <w:sz w:val="21"/>
                <w:szCs w:val="21"/>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94"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6"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29" w:right="319" w:bottom="1440" w:gutter="0" w:footer="0" w:header="0"/>
          <w:type w:val="continuous"/>
        </w:sectPr>
      </w:pPr>
    </w:p>
    <w:p>
      <w:pPr>
        <w:spacing w:after="0" w:line="189"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68"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2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2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2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No </w:t>
      </w:r>
      <w:r>
        <w:rPr>
          <w:rFonts w:ascii="Times New Roman" w:cs="Times New Roman" w:eastAsia="Times New Roman" w:hAnsi="Times New Roman"/>
          <w:sz w:val="16"/>
          <w:szCs w:val="16"/>
          <w:color w:val="auto"/>
        </w:rPr>
        <w:t>x</w:t>
      </w:r>
    </w:p>
    <w:p>
      <w:pPr>
        <w:spacing w:after="0" w:line="166" w:lineRule="exact"/>
        <w:rPr>
          <w:sz w:val="24"/>
          <w:szCs w:val="24"/>
          <w:color w:val="auto"/>
        </w:rPr>
      </w:pPr>
    </w:p>
    <w:p>
      <w:pPr>
        <w:sectPr>
          <w:pgSz w:w="11900" w:h="16838" w:orient="portrait"/>
          <w:cols w:equalWidth="0" w:num="2">
            <w:col w:w="8780" w:space="160"/>
            <w:col w:w="2400"/>
          </w:cols>
          <w:pgMar w:left="240" w:top="22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July 29, 2016 was 35,373,537.</w:t>
      </w:r>
    </w:p>
    <w:p>
      <w:pPr>
        <w:sectPr>
          <w:pgSz w:w="11900" w:h="16838" w:orient="portrait"/>
          <w:cols w:equalWidth="0" w:num="1">
            <w:col w:w="11340"/>
          </w:cols>
          <w:pgMar w:left="240" w:top="22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51"/>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40" w:type="dxa"/>
            <w:vAlign w:val="bottom"/>
            <w:gridSpan w:val="9"/>
          </w:tcPr>
          <w:p>
            <w:pPr>
              <w:ind w:left="100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June 30, 2016 and December 31, 2015</w:t>
              </w:r>
            </w:hyperlink>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040" w:type="dxa"/>
            <w:vAlign w:val="bottom"/>
            <w:tcBorders>
              <w:bottom w:val="single" w:sz="8" w:color="0000EE"/>
            </w:tcBorders>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 for the three and six months ended June 30, 2016 and 2015</w:t>
              </w:r>
            </w:hyperlink>
          </w:p>
        </w:tc>
        <w:tc>
          <w:tcPr>
            <w:tcW w:w="1760" w:type="dxa"/>
            <w:vAlign w:val="bottom"/>
            <w:gridSpan w:val="2"/>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8960" w:type="dxa"/>
            <w:vAlign w:val="bottom"/>
            <w:tcBorders>
              <w:bottom w:val="single" w:sz="8" w:color="0000EE"/>
            </w:tcBorders>
            <w:gridSpan w:val="1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Comprehensive Income for the three and six months ended June 30, 2016 and 2015</w:t>
              </w:r>
            </w:hyperlink>
          </w:p>
        </w:tc>
        <w:tc>
          <w:tcPr>
            <w:tcW w:w="840" w:type="dxa"/>
            <w:vAlign w:val="bottom"/>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Cash Flows for the six months ended June 30, 2016 and 2015</w:t>
              </w:r>
            </w:hyperlink>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7360" w:type="dxa"/>
            <w:vAlign w:val="bottom"/>
            <w:tcBorders>
              <w:top w:val="single" w:sz="8" w:color="0000EE"/>
            </w:tcBorders>
            <w:gridSpan w:val="15"/>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2440" w:type="dxa"/>
            <w:vAlign w:val="bottom"/>
            <w:gridSpan w:val="3"/>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tcBorders>
              <w:top w:val="single" w:sz="8" w:color="0000EE"/>
              <w:bottom w:val="single" w:sz="8" w:color="0000FF"/>
            </w:tcBorders>
            <w:gridSpan w:val="11"/>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Quantitative and Qualitative Disclosures About Market Risk</w:t>
              </w:r>
            </w:hyperlink>
          </w:p>
        </w:tc>
        <w:tc>
          <w:tcPr>
            <w:tcW w:w="2120" w:type="dxa"/>
            <w:vAlign w:val="bottom"/>
            <w:tcBorders>
              <w:top w:val="single" w:sz="8" w:color="0000EE"/>
            </w:tcBorders>
            <w:gridSpan w:val="3"/>
          </w:tcPr>
          <w:p>
            <w:pPr>
              <w:spacing w:after="0"/>
              <w:rPr>
                <w:sz w:val="19"/>
                <w:szCs w:val="19"/>
                <w:color w:val="auto"/>
              </w:rPr>
            </w:pPr>
          </w:p>
        </w:tc>
        <w:tc>
          <w:tcPr>
            <w:tcW w:w="3440" w:type="dxa"/>
            <w:vAlign w:val="bottom"/>
            <w:gridSpan w:val="4"/>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35</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r>
      <w:tr>
        <w:trPr>
          <w:trHeight w:val="270"/>
        </w:trPr>
        <w:tc>
          <w:tcPr>
            <w:tcW w:w="1040" w:type="dxa"/>
            <w:vAlign w:val="bottom"/>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80" w:type="dxa"/>
            <w:vAlign w:val="bottom"/>
          </w:tcPr>
          <w:p>
            <w:pPr>
              <w:spacing w:after="0"/>
              <w:rPr>
                <w:sz w:val="23"/>
                <w:szCs w:val="23"/>
                <w:color w:val="auto"/>
              </w:rPr>
            </w:pPr>
          </w:p>
        </w:tc>
        <w:tc>
          <w:tcPr>
            <w:tcW w:w="7540" w:type="dxa"/>
            <w:vAlign w:val="bottom"/>
            <w:gridSpan w:val="9"/>
          </w:tcPr>
          <w:p>
            <w:pPr>
              <w:ind w:left="122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Pr>
          <w:p>
            <w:pPr>
              <w:spacing w:after="0"/>
              <w:rPr>
                <w:sz w:val="23"/>
                <w:szCs w:val="23"/>
                <w:color w:val="auto"/>
              </w:rPr>
            </w:pPr>
          </w:p>
        </w:tc>
      </w:tr>
      <w:tr>
        <w:trPr>
          <w:trHeight w:val="197"/>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37">
              <w:r>
                <w:rPr>
                  <w:rFonts w:ascii="Arial" w:cs="Arial" w:eastAsia="Arial" w:hAnsi="Arial"/>
                  <w:sz w:val="16"/>
                  <w:szCs w:val="16"/>
                  <w:color w:val="0000FF"/>
                  <w:w w:val="99"/>
                </w:rPr>
                <w:t>Legal Proceedings</w:t>
              </w:r>
            </w:hyperlink>
          </w:p>
        </w:tc>
        <w:tc>
          <w:tcPr>
            <w:tcW w:w="8460" w:type="dxa"/>
            <w:vAlign w:val="bottom"/>
            <w:gridSpan w:val="13"/>
          </w:tcPr>
          <w:p>
            <w:pPr>
              <w:spacing w:after="0"/>
              <w:rPr>
                <w:sz w:val="17"/>
                <w:szCs w:val="17"/>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37</w:t>
              </w:r>
            </w:hyperlink>
          </w:p>
        </w:tc>
        <w:tc>
          <w:tcPr>
            <w:tcW w:w="200" w:type="dxa"/>
            <w:vAlign w:val="bottom"/>
          </w:tcPr>
          <w:p>
            <w:pPr>
              <w:spacing w:after="0"/>
              <w:rPr>
                <w:sz w:val="17"/>
                <w:szCs w:val="17"/>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37">
              <w:r>
                <w:rPr>
                  <w:rFonts w:ascii="Arial" w:cs="Arial" w:eastAsia="Arial" w:hAnsi="Arial"/>
                  <w:sz w:val="16"/>
                  <w:szCs w:val="16"/>
                  <w:color w:val="0000FF"/>
                  <w:w w:val="98"/>
                </w:rPr>
                <w:t>Risk Factors</w:t>
              </w:r>
            </w:hyperlink>
          </w:p>
        </w:tc>
        <w:tc>
          <w:tcPr>
            <w:tcW w:w="890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7">
              <w:r>
                <w:rPr>
                  <w:rFonts w:ascii="Arial" w:cs="Arial" w:eastAsia="Arial" w:hAnsi="Arial"/>
                  <w:sz w:val="16"/>
                  <w:szCs w:val="16"/>
                  <w:color w:val="0000FF"/>
                  <w:w w:val="89"/>
                </w:rPr>
                <w:t>37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2"/>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9"/>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58">
              <w:r>
                <w:rPr>
                  <w:rFonts w:ascii="Arial" w:cs="Arial" w:eastAsia="Arial" w:hAnsi="Arial"/>
                  <w:sz w:val="16"/>
                  <w:szCs w:val="16"/>
                  <w:color w:val="0000FF"/>
                  <w:w w:val="99"/>
                </w:rPr>
                <w:t>Other Information</w:t>
              </w:r>
            </w:hyperlink>
          </w:p>
        </w:tc>
        <w:tc>
          <w:tcPr>
            <w:tcW w:w="8540" w:type="dxa"/>
            <w:vAlign w:val="bottom"/>
            <w:gridSpan w:val="14"/>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8"/>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8"/>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2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2015</w:t>
            </w:r>
          </w:p>
        </w:tc>
      </w:tr>
      <w:tr>
        <w:trPr>
          <w:trHeight w:val="278"/>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118,194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96,186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87,268</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$742 and $769 as of June 30, 2016 and December 31, 2015, respectively</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40,387</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42,325</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7,635</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7,945</w:t>
            </w:r>
          </w:p>
        </w:tc>
      </w:tr>
      <w:tr>
        <w:trPr>
          <w:trHeight w:val="25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262,402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229,236</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46,534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43,277</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40,025</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31,329</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16,123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16,079</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2,276</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1,916</w:t>
            </w:r>
          </w:p>
        </w:tc>
      </w:tr>
      <w:tr>
        <w:trPr>
          <w:trHeight w:val="281"/>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368,851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16,851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11,786</w:t>
            </w: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103,753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98,025</w:t>
            </w: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126,457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112,179</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13,073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14,564</w:t>
            </w: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1,884</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1,205</w:t>
            </w:r>
          </w:p>
        </w:tc>
      </w:tr>
      <w:tr>
        <w:trPr>
          <w:trHeight w:val="25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141,414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127,948</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5)</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176"/>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June 30, 2016 and</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8"/>
        </w:trPr>
        <w:tc>
          <w:tcPr>
            <w:tcW w:w="8340" w:type="dxa"/>
            <w:vAlign w:val="bottom"/>
          </w:tcPr>
          <w:p>
            <w:pPr>
              <w:ind w:left="280"/>
              <w:spacing w:after="0"/>
              <w:rPr>
                <w:sz w:val="20"/>
                <w:szCs w:val="20"/>
                <w:color w:val="auto"/>
              </w:rPr>
            </w:pPr>
            <w:r>
              <w:rPr>
                <w:rFonts w:ascii="Arial" w:cs="Arial" w:eastAsia="Arial" w:hAnsi="Arial"/>
                <w:sz w:val="14"/>
                <w:szCs w:val="14"/>
                <w:color w:val="auto"/>
              </w:rPr>
              <w:t>December 31, 2015</w:t>
            </w:r>
          </w:p>
        </w:tc>
        <w:tc>
          <w:tcPr>
            <w:tcW w:w="2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35,369,968 and 34,414,631 shares issued and</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02"/>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June 30, 2016 and December 31, 2015, respectively</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246,454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223,228</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(19,164)</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(27,485)</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227,437</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195,566</w:t>
            </w:r>
          </w:p>
        </w:tc>
      </w:tr>
      <w:tr>
        <w:trPr>
          <w:trHeight w:val="241"/>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368,851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323,514</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48,466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77,370</w:t>
            </w:r>
          </w:p>
        </w:tc>
        <w:tc>
          <w:tcPr>
            <w:tcW w:w="0" w:type="dxa"/>
            <w:vAlign w:val="bottom"/>
          </w:tcPr>
          <w:p>
            <w:pPr>
              <w:spacing w:after="0"/>
              <w:rPr>
                <w:sz w:val="1"/>
                <w:szCs w:val="1"/>
                <w:color w:val="auto"/>
              </w:rPr>
            </w:pPr>
          </w:p>
        </w:tc>
      </w:tr>
      <w:tr>
        <w:trPr>
          <w:trHeight w:val="26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10,092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8,157</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19,508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231F20"/>
            </w:tcBorders>
          </w:tcPr>
          <w:p>
            <w:pPr>
              <w:spacing w:after="0"/>
              <w:rPr>
                <w:sz w:val="23"/>
                <w:szCs w:val="23"/>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16,121</w:t>
            </w:r>
          </w:p>
        </w:tc>
        <w:tc>
          <w:tcPr>
            <w:tcW w:w="0" w:type="dxa"/>
            <w:vAlign w:val="bottom"/>
          </w:tcPr>
          <w:p>
            <w:pPr>
              <w:spacing w:after="0"/>
              <w:rPr>
                <w:sz w:val="1"/>
                <w:szCs w:val="1"/>
                <w:color w:val="auto"/>
              </w:rPr>
            </w:pPr>
          </w:p>
        </w:tc>
      </w:tr>
      <w:tr>
        <w:trPr>
          <w:trHeight w:val="25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38,374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75,206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61,249</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16,977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14,355</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14,451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12,776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28,384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24,219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9,068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6,427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16,536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231F20"/>
            </w:tcBorders>
            <w:shd w:val="clear" w:color="auto" w:fill="CCEEFF"/>
          </w:tcPr>
          <w:p>
            <w:pPr>
              <w:spacing w:after="0"/>
              <w:rPr>
                <w:sz w:val="23"/>
                <w:szCs w:val="23"/>
                <w:color w:val="auto"/>
              </w:rPr>
            </w:pPr>
          </w:p>
        </w:tc>
        <w:tc>
          <w:tcPr>
            <w:tcW w:w="9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32,662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26,408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61,897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9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51,017</w:t>
            </w:r>
          </w:p>
        </w:tc>
        <w:tc>
          <w:tcPr>
            <w:tcW w:w="0" w:type="dxa"/>
            <w:vAlign w:val="bottom"/>
          </w:tcPr>
          <w:p>
            <w:pPr>
              <w:spacing w:after="0"/>
              <w:rPr>
                <w:sz w:val="1"/>
                <w:szCs w:val="1"/>
                <w:color w:val="auto"/>
              </w:rPr>
            </w:pP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10,232</w:t>
            </w:r>
          </w:p>
        </w:tc>
        <w:tc>
          <w:tcPr>
            <w:tcW w:w="0" w:type="dxa"/>
            <w:vAlign w:val="bottom"/>
          </w:tcPr>
          <w:p>
            <w:pPr>
              <w:spacing w:after="0"/>
              <w:rPr>
                <w:sz w:val="1"/>
                <w:szCs w:val="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6"/>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320" w:type="dxa"/>
            <w:vAlign w:val="bottom"/>
            <w:tcBorders>
              <w:top w:val="single" w:sz="8" w:color="231F20"/>
              <w:bottom w:val="single" w:sz="8" w:color="231F20"/>
            </w:tcBorders>
          </w:tcPr>
          <w:p>
            <w:pPr>
              <w:spacing w:after="0"/>
              <w:rPr>
                <w:sz w:val="21"/>
                <w:szCs w:val="21"/>
                <w:color w:val="auto"/>
              </w:rPr>
            </w:pPr>
          </w:p>
        </w:tc>
        <w:tc>
          <w:tcPr>
            <w:tcW w:w="1060" w:type="dxa"/>
            <w:vAlign w:val="bottom"/>
            <w:tcBorders>
              <w:top w:val="single" w:sz="8" w:color="231F20"/>
              <w:bottom w:val="single" w:sz="8" w:color="231F20"/>
            </w:tcBorders>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231F20"/>
              <w:bottom w:val="single" w:sz="8" w:color="231F20"/>
            </w:tcBorders>
          </w:tcPr>
          <w:p>
            <w:pPr>
              <w:spacing w:after="0"/>
              <w:rPr>
                <w:sz w:val="21"/>
                <w:szCs w:val="21"/>
                <w:color w:val="auto"/>
              </w:rPr>
            </w:pPr>
          </w:p>
        </w:tc>
        <w:tc>
          <w:tcPr>
            <w:tcW w:w="1000" w:type="dxa"/>
            <w:vAlign w:val="bottom"/>
            <w:tcBorders>
              <w:top w:val="single" w:sz="8" w:color="231F20"/>
              <w:bottom w:val="single" w:sz="8" w:color="231F20"/>
            </w:tcBorders>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231F20"/>
              <w:bottom w:val="single" w:sz="8" w:color="231F20"/>
            </w:tcBorders>
          </w:tcPr>
          <w:p>
            <w:pPr>
              <w:spacing w:after="0"/>
              <w:rPr>
                <w:sz w:val="21"/>
                <w:szCs w:val="21"/>
                <w:color w:val="auto"/>
              </w:rPr>
            </w:pPr>
          </w:p>
        </w:tc>
        <w:tc>
          <w:tcPr>
            <w:tcW w:w="960" w:type="dxa"/>
            <w:vAlign w:val="bottom"/>
            <w:tcBorders>
              <w:top w:val="single" w:sz="8" w:color="231F20"/>
              <w:bottom w:val="single" w:sz="8" w:color="231F20"/>
            </w:tcBorders>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5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10,283</w:t>
            </w:r>
          </w:p>
        </w:tc>
        <w:tc>
          <w:tcPr>
            <w:tcW w:w="0" w:type="dxa"/>
            <w:vAlign w:val="bottom"/>
          </w:tcPr>
          <w:p>
            <w:pPr>
              <w:spacing w:after="0"/>
              <w:rPr>
                <w:sz w:val="1"/>
                <w:szCs w:val="1"/>
                <w:color w:val="auto"/>
              </w:rPr>
            </w:pPr>
          </w:p>
        </w:tc>
      </w:tr>
      <w:tr>
        <w:trPr>
          <w:trHeight w:val="26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2,214</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5,196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35,120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34,003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34,869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33,889</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38,143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38,475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37,988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60" w:type="dxa"/>
            <w:vAlign w:val="bottom"/>
          </w:tcPr>
          <w:p>
            <w:pPr>
              <w:spacing w:after="0"/>
              <w:rPr>
                <w:sz w:val="17"/>
                <w:szCs w:val="17"/>
                <w:color w:val="auto"/>
              </w:rPr>
            </w:pPr>
          </w:p>
        </w:tc>
        <w:tc>
          <w:tcPr>
            <w:tcW w:w="2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7"/>
                <w:szCs w:val="17"/>
                <w:color w:val="auto"/>
              </w:rPr>
            </w:pPr>
          </w:p>
        </w:tc>
      </w:tr>
      <w:tr>
        <w:trPr>
          <w:trHeight w:val="271"/>
        </w:trPr>
        <w:tc>
          <w:tcPr>
            <w:tcW w:w="526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3"/>
                <w:szCs w:val="23"/>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25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3,538</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r>
      <w:tr>
        <w:trPr>
          <w:trHeight w:val="266"/>
        </w:trPr>
        <w:tc>
          <w:tcPr>
            <w:tcW w:w="5260" w:type="dxa"/>
            <w:vAlign w:val="bottom"/>
          </w:tcPr>
          <w:p>
            <w:pPr>
              <w:ind w:left="180"/>
              <w:spacing w:after="0"/>
              <w:rPr>
                <w:sz w:val="20"/>
                <w:szCs w:val="20"/>
                <w:color w:val="auto"/>
              </w:rPr>
            </w:pPr>
            <w:r>
              <w:rPr>
                <w:rFonts w:ascii="Arial" w:cs="Arial" w:eastAsia="Arial" w:hAnsi="Arial"/>
                <w:sz w:val="14"/>
                <w:szCs w:val="14"/>
                <w:color w:val="auto"/>
              </w:rPr>
              <w:t>Available-for-sale investments:</w:t>
            </w: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4"/>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176"/>
        </w:trPr>
        <w:tc>
          <w:tcPr>
            <w:tcW w:w="5260" w:type="dxa"/>
            <w:vAlign w:val="bottom"/>
          </w:tcPr>
          <w:p>
            <w:pPr>
              <w:ind w:left="280"/>
              <w:spacing w:after="0"/>
              <w:rPr>
                <w:sz w:val="20"/>
                <w:szCs w:val="20"/>
                <w:color w:val="auto"/>
              </w:rPr>
            </w:pPr>
            <w:r>
              <w:rPr>
                <w:rFonts w:ascii="Arial" w:cs="Arial" w:eastAsia="Arial" w:hAnsi="Arial"/>
                <w:sz w:val="14"/>
                <w:szCs w:val="14"/>
                <w:color w:val="auto"/>
              </w:rPr>
              <w:t>Less: reclassification adjustment for net realized gain (loss) included in net</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98"/>
        </w:trPr>
        <w:tc>
          <w:tcPr>
            <w:tcW w:w="5260" w:type="dxa"/>
            <w:vAlign w:val="bottom"/>
          </w:tcPr>
          <w:p>
            <w:pPr>
              <w:ind w:left="280"/>
              <w:spacing w:after="0"/>
              <w:rPr>
                <w:sz w:val="20"/>
                <w:szCs w:val="20"/>
                <w:color w:val="auto"/>
              </w:rPr>
            </w:pPr>
            <w:r>
              <w:rPr>
                <w:rFonts w:ascii="Arial" w:cs="Arial" w:eastAsia="Arial" w:hAnsi="Arial"/>
                <w:sz w:val="14"/>
                <w:szCs w:val="14"/>
                <w:color w:val="auto"/>
              </w:rPr>
              <w:t>income</w:t>
            </w:r>
          </w:p>
        </w:tc>
        <w:tc>
          <w:tcPr>
            <w:tcW w:w="96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50"/>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change, net of tax</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50"/>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96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231F20"/>
            </w:tcBorders>
          </w:tcPr>
          <w:p>
            <w:pPr>
              <w:spacing w:after="0"/>
              <w:rPr>
                <w:sz w:val="21"/>
                <w:szCs w:val="21"/>
                <w:color w:val="auto"/>
              </w:rPr>
            </w:pPr>
          </w:p>
        </w:tc>
        <w:tc>
          <w:tcPr>
            <w:tcW w:w="54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4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3,308</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8,644</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6,335</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r>
      <w:tr>
        <w:trPr>
          <w:trHeight w:val="271"/>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3"/>
                <w:szCs w:val="23"/>
                <w:color w:val="auto"/>
              </w:rPr>
            </w:pPr>
          </w:p>
        </w:tc>
      </w:tr>
      <w:tr>
        <w:trPr>
          <w:trHeight w:val="263"/>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62"/>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8,321</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6,318</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6,586</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333</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10,019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8,257</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(3,713)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74"/>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3,064</w:t>
            </w:r>
          </w:p>
        </w:tc>
      </w:tr>
      <w:tr>
        <w:trPr>
          <w:trHeight w:val="266"/>
        </w:trPr>
        <w:tc>
          <w:tcPr>
            <w:tcW w:w="834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4"/>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1,833</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r>
      <w:tr>
        <w:trPr>
          <w:trHeight w:val="266"/>
        </w:trPr>
        <w:tc>
          <w:tcPr>
            <w:tcW w:w="834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(534)</w:t>
            </w:r>
          </w:p>
        </w:tc>
      </w:tr>
      <w:tr>
        <w:trPr>
          <w:trHeight w:val="274"/>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w:t>
            </w:r>
          </w:p>
        </w:tc>
      </w:tr>
      <w:tr>
        <w:trPr>
          <w:trHeight w:val="266"/>
        </w:trPr>
        <w:tc>
          <w:tcPr>
            <w:tcW w:w="834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1,846</w:t>
            </w:r>
          </w:p>
        </w:tc>
      </w:tr>
      <w:tr>
        <w:trPr>
          <w:trHeight w:val="274"/>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4,237</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r>
      <w:tr>
        <w:trPr>
          <w:trHeight w:val="266"/>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685</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r>
      <w:tr>
        <w:trPr>
          <w:trHeight w:val="254"/>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34,461</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25,550</w:t>
            </w:r>
          </w:p>
        </w:tc>
      </w:tr>
      <w:tr>
        <w:trPr>
          <w:trHeight w:val="260"/>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(87,364)</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(61,442)</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75,156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48,214</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(8,966)</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(10,407)</w:t>
            </w:r>
          </w:p>
        </w:tc>
      </w:tr>
      <w:tr>
        <w:trPr>
          <w:trHeight w:val="266"/>
        </w:trPr>
        <w:tc>
          <w:tcPr>
            <w:tcW w:w="8340" w:type="dxa"/>
            <w:vAlign w:val="bottom"/>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54"/>
        </w:trPr>
        <w:tc>
          <w:tcPr>
            <w:tcW w:w="834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(21,174)</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(23,734)</w:t>
            </w:r>
          </w:p>
        </w:tc>
      </w:tr>
      <w:tr>
        <w:trPr>
          <w:trHeight w:val="260"/>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5,547</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3,713</w:t>
            </w:r>
          </w:p>
        </w:tc>
        <w:tc>
          <w:tcPr>
            <w:tcW w:w="12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r>
      <w:tr>
        <w:trPr>
          <w:trHeight w:val="250"/>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13,209</w:t>
            </w:r>
          </w:p>
        </w:tc>
        <w:tc>
          <w:tcPr>
            <w:tcW w:w="1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5,738</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26,496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7,554</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91,698</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76,504</w:t>
            </w:r>
          </w:p>
        </w:tc>
      </w:tr>
      <w:tr>
        <w:trPr>
          <w:trHeight w:val="28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118,194</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84,058</w:t>
            </w:r>
          </w:p>
        </w:tc>
      </w:tr>
      <w:tr>
        <w:trPr>
          <w:trHeight w:val="264"/>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accrued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7,379</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2"/>
        </w:trPr>
        <w:tc>
          <w:tcPr>
            <w:tcW w:w="834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2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2015</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six month periods ended June 30, 2016 are not necessarily indicative of the results of operations expected for the entire year ending December 31, 2016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2015</w:t>
      </w:r>
      <w:r>
        <w:rPr>
          <w:rFonts w:ascii="Arial" w:cs="Arial" w:eastAsia="Arial" w:hAnsi="Arial"/>
          <w:sz w:val="18"/>
          <w:szCs w:val="18"/>
          <w:color w:val="231F20"/>
        </w:rPr>
        <w:t xml:space="preserve"> filed with the SEC on February 26, 2016.</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225" w:lineRule="exact"/>
        <w:rPr>
          <w:sz w:val="20"/>
          <w:szCs w:val="20"/>
          <w:color w:val="auto"/>
        </w:rPr>
      </w:pPr>
    </w:p>
    <w:p>
      <w:pPr>
        <w:ind w:right="860" w:firstLine="486"/>
        <w:spacing w:after="0" w:line="292"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All significant intercompany transactions and balances have been eliminated upon consolidation.</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25"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16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w:t>
      </w:r>
      <w:r>
        <w:rPr>
          <w:rFonts w:ascii="Arial" w:cs="Arial" w:eastAsia="Arial" w:hAnsi="Arial"/>
          <w:sz w:val="18"/>
          <w:szCs w:val="18"/>
          <w:color w:val="000000"/>
        </w:rPr>
        <w:t>June 30, 2016</w:t>
      </w:r>
      <w:r>
        <w:rPr>
          <w:rFonts w:ascii="Arial" w:cs="Arial" w:eastAsia="Arial" w:hAnsi="Arial"/>
          <w:sz w:val="18"/>
          <w:szCs w:val="18"/>
          <w:color w:val="231F20"/>
        </w:rPr>
        <w:t xml:space="preserve"> and </w:t>
      </w:r>
      <w:r>
        <w:rPr>
          <w:rFonts w:ascii="Arial" w:cs="Arial" w:eastAsia="Arial" w:hAnsi="Arial"/>
          <w:sz w:val="18"/>
          <w:szCs w:val="18"/>
          <w:color w:val="000000"/>
        </w:rPr>
        <w:t>December 31, 2015</w:t>
      </w:r>
      <w:r>
        <w:rPr>
          <w:rFonts w:ascii="Arial" w:cs="Arial" w:eastAsia="Arial" w:hAnsi="Arial"/>
          <w:sz w:val="18"/>
          <w:szCs w:val="18"/>
          <w:color w:val="231F20"/>
        </w:rPr>
        <w:t xml:space="preserve">,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10% of the Company's accounts receivable balance.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225"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17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condensed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231F20"/>
        </w:rPr>
        <w:t>In May 2014, the Financial Accounting Standards Board (“FASB”) issued an Accounting Standard Update (“ASU”) amending revenue recognition guidance and requiring more detailed disclosures to enable users of financial statements to understand the nature, amount, timing, and uncertainty of revenue and cash flows arising from contracts with customers. The ASU will be effective for fiscal years, and interim periods within those years, beginning after December 15, 2017, but entities will be permitted to early adopt the standard only as of annual reporting periods beginning after December 15, 2016, including interim reporting periods within that reporting period. The new revenue standard may be applied retrospectively to each prior period presented or retrospectively with the cumulative effect recognized on date of adoption. The Company is currently evaluating the impact this ASU will have on its consolidated financial statements.</w:t>
      </w:r>
    </w:p>
    <w:p>
      <w:pPr>
        <w:spacing w:after="0" w:line="17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231F20"/>
        </w:rPr>
        <w:t xml:space="preserve">In January 2016, the FASB issued an ASU that will impact certain aspects of recognition, measurement, presentation and disclosure of financial instruments. This guidance is effective for public business entities in </w:t>
      </w:r>
      <w:r>
        <w:rPr>
          <w:rFonts w:ascii="Arial" w:cs="Arial" w:eastAsia="Arial" w:hAnsi="Arial"/>
          <w:sz w:val="18"/>
          <w:szCs w:val="18"/>
          <w:color w:val="000000"/>
        </w:rPr>
        <w:t>fiscal years, and interim periods within those fiscal years,</w:t>
      </w:r>
      <w:r>
        <w:rPr>
          <w:rFonts w:ascii="Arial" w:cs="Arial" w:eastAsia="Arial" w:hAnsi="Arial"/>
          <w:sz w:val="18"/>
          <w:szCs w:val="18"/>
          <w:color w:val="231F20"/>
        </w:rPr>
        <w:t xml:space="preserve"> beginning after December 15, 2017.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231F20"/>
        </w:rPr>
        <w:t xml:space="preserve">In February 2016, the FASB issued an ASU which requires, among other things, lease assets and lease liabilities arising from leases, including operating leases, to be recognized on the balance sheet. In addition, the ASU requires disclosing key information about leasing arrangements. This guidance supersedes existing lease guidance and is effective for public business entities in </w:t>
      </w:r>
      <w:r>
        <w:rPr>
          <w:rFonts w:ascii="Arial" w:cs="Arial" w:eastAsia="Arial" w:hAnsi="Arial"/>
          <w:sz w:val="18"/>
          <w:szCs w:val="18"/>
          <w:color w:val="000000"/>
        </w:rPr>
        <w:t>fiscal years, and interim</w:t>
      </w:r>
      <w:r>
        <w:rPr>
          <w:rFonts w:ascii="Arial" w:cs="Arial" w:eastAsia="Arial" w:hAnsi="Arial"/>
          <w:sz w:val="18"/>
          <w:szCs w:val="18"/>
          <w:color w:val="231F20"/>
        </w:rPr>
        <w:t xml:space="preserve"> </w:t>
      </w:r>
      <w:r>
        <w:rPr>
          <w:rFonts w:ascii="Arial" w:cs="Arial" w:eastAsia="Arial" w:hAnsi="Arial"/>
          <w:sz w:val="18"/>
          <w:szCs w:val="18"/>
          <w:color w:val="000000"/>
        </w:rPr>
        <w:t xml:space="preserve">periods within those fiscal years, </w:t>
      </w:r>
      <w:r>
        <w:rPr>
          <w:rFonts w:ascii="Arial" w:cs="Arial" w:eastAsia="Arial" w:hAnsi="Arial"/>
          <w:sz w:val="18"/>
          <w:szCs w:val="18"/>
          <w:color w:val="231F20"/>
        </w:rPr>
        <w:t>beginning after December 15, 2018. The Company is currently evaluating the impact this ASU will have on its</w:t>
      </w:r>
      <w:r>
        <w:rPr>
          <w:rFonts w:ascii="Arial" w:cs="Arial" w:eastAsia="Arial" w:hAnsi="Arial"/>
          <w:sz w:val="18"/>
          <w:szCs w:val="18"/>
          <w:color w:val="000000"/>
        </w:rPr>
        <w:t xml:space="preserve"> </w:t>
      </w:r>
      <w:r>
        <w:rPr>
          <w:rFonts w:ascii="Arial" w:cs="Arial" w:eastAsia="Arial" w:hAnsi="Arial"/>
          <w:sz w:val="18"/>
          <w:szCs w:val="18"/>
          <w:color w:val="231F20"/>
        </w:rPr>
        <w:t>consolidated financial statements.</w:t>
      </w:r>
    </w:p>
    <w:p>
      <w:pPr>
        <w:spacing w:after="0" w:line="175"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 xml:space="preserve">In March 2016, the FASB issued an ASU intended to simplify and improve various aspects related to how employee-share based payment transactions are accounted for and presented in the financial statements. The ASU addresses income tax consequences, classification of awards as either equity or liabilities, classification on the statement of cash flows and forfeiture rate calculations. </w:t>
      </w:r>
      <w:r>
        <w:rPr>
          <w:rFonts w:ascii="Arial" w:cs="Arial" w:eastAsia="Arial" w:hAnsi="Arial"/>
          <w:sz w:val="18"/>
          <w:szCs w:val="18"/>
          <w:color w:val="231F20"/>
        </w:rPr>
        <w:t>This guidance</w:t>
      </w:r>
      <w:r>
        <w:rPr>
          <w:rFonts w:ascii="Arial" w:cs="Arial" w:eastAsia="Arial" w:hAnsi="Arial"/>
          <w:sz w:val="18"/>
          <w:szCs w:val="18"/>
          <w:color w:val="auto"/>
        </w:rPr>
        <w:t xml:space="preserve"> </w:t>
      </w:r>
      <w:r>
        <w:rPr>
          <w:rFonts w:ascii="Arial" w:cs="Arial" w:eastAsia="Arial" w:hAnsi="Arial"/>
          <w:sz w:val="18"/>
          <w:szCs w:val="18"/>
          <w:color w:val="231F20"/>
        </w:rPr>
        <w:t xml:space="preserve">is effective for public business entities in </w:t>
      </w:r>
      <w:r>
        <w:rPr>
          <w:rFonts w:ascii="Arial" w:cs="Arial" w:eastAsia="Arial" w:hAnsi="Arial"/>
          <w:sz w:val="18"/>
          <w:szCs w:val="18"/>
          <w:color w:val="000000"/>
        </w:rPr>
        <w:t>fiscal years, and interim periods within those fiscal years,</w:t>
      </w:r>
      <w:r>
        <w:rPr>
          <w:rFonts w:ascii="Arial" w:cs="Arial" w:eastAsia="Arial" w:hAnsi="Arial"/>
          <w:sz w:val="18"/>
          <w:szCs w:val="18"/>
          <w:color w:val="231F20"/>
        </w:rPr>
        <w:t xml:space="preserve"> beginning after December 15, 2016. Early adoption is permitted. The Company is currently evaluating the impact this ASU will have on its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3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170" w:lineRule="exact"/>
        <w:rPr>
          <w:sz w:val="20"/>
          <w:szCs w:val="20"/>
          <w:color w:val="auto"/>
        </w:rPr>
      </w:pPr>
    </w:p>
    <w:p>
      <w:pPr>
        <w:jc w:val="both"/>
        <w:ind w:right="60" w:firstLine="405"/>
        <w:spacing w:after="0" w:line="260"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71"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63"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4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6"/>
                <w:szCs w:val="16"/>
                <w:b w:val="1"/>
                <w:bCs w:val="1"/>
                <w:color w:val="auto"/>
                <w:w w:val="99"/>
              </w:rPr>
              <w:t>June 30, 2016</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193"/>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69,227</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69,227</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15,228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15,228</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33,737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33,739</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118,192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118,194</w:t>
            </w:r>
          </w:p>
        </w:tc>
      </w:tr>
      <w:tr>
        <w:trPr>
          <w:trHeight w:val="256"/>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16,417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16,418</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10,728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10,731</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68,300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68,340</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96,142</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96,186</w:t>
            </w:r>
          </w:p>
        </w:tc>
      </w:tr>
      <w:tr>
        <w:trPr>
          <w:trHeight w:val="256"/>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6,222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6,229</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31,395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31,478</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8,827</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46,434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46,534</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260,768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260,914</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18"/>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3"/>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61,372</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61,372</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8,999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9,000</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17,345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91,696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91,698</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10,448</w:t>
            </w: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12,448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12,435</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64,385</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87,317</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87,268</w:t>
            </w:r>
          </w:p>
        </w:tc>
      </w:tr>
      <w:tr>
        <w:trPr>
          <w:trHeight w:val="256"/>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7,007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62"/>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32,683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32,541</w:t>
            </w:r>
          </w:p>
        </w:tc>
      </w:tr>
      <w:tr>
        <w:trPr>
          <w:trHeight w:val="271"/>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3,751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3,747</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43,441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43,277</w:t>
            </w:r>
          </w:p>
        </w:tc>
      </w:tr>
      <w:tr>
        <w:trPr>
          <w:trHeight w:val="242"/>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222,454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222,243</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 shows the changes to accumulated other comprehensive income for the six months ended June 30, 2016:</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Unrealized Gain</w:t>
            </w:r>
          </w:p>
        </w:tc>
      </w:tr>
      <w:tr>
        <w:trPr>
          <w:trHeight w:val="189"/>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(Loss) on</w:t>
            </w:r>
          </w:p>
        </w:tc>
      </w:tr>
      <w:tr>
        <w:trPr>
          <w:trHeight w:val="232"/>
        </w:trPr>
        <w:tc>
          <w:tcPr>
            <w:tcW w:w="9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center"/>
              <w:ind w:right="99"/>
              <w:spacing w:after="0"/>
              <w:rPr>
                <w:sz w:val="20"/>
                <w:szCs w:val="20"/>
                <w:color w:val="auto"/>
              </w:rPr>
            </w:pPr>
            <w:r>
              <w:rPr>
                <w:rFonts w:ascii="Arial" w:cs="Arial" w:eastAsia="Arial" w:hAnsi="Arial"/>
                <w:sz w:val="16"/>
                <w:szCs w:val="16"/>
                <w:b w:val="1"/>
                <w:bCs w:val="1"/>
                <w:color w:val="auto"/>
              </w:rPr>
              <w:t>Investments</w:t>
            </w:r>
          </w:p>
        </w:tc>
      </w:tr>
      <w:tr>
        <w:trPr>
          <w:trHeight w:val="247"/>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5"/>
        </w:trPr>
        <w:tc>
          <w:tcPr>
            <w:tcW w:w="9720" w:type="dxa"/>
            <w:vAlign w:val="bottom"/>
          </w:tcPr>
          <w:p>
            <w:pPr>
              <w:ind w:left="280"/>
              <w:spacing w:after="0"/>
              <w:rPr>
                <w:sz w:val="20"/>
                <w:szCs w:val="20"/>
                <w:color w:val="auto"/>
              </w:rPr>
            </w:pPr>
            <w:r>
              <w:rPr>
                <w:rFonts w:ascii="Arial" w:cs="Arial" w:eastAsia="Arial" w:hAnsi="Arial"/>
                <w:sz w:val="16"/>
                <w:szCs w:val="16"/>
                <w:color w:val="auto"/>
              </w:rPr>
              <w:t>Change in net realized gain (loss) on investments</w:t>
            </w: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307</w:t>
            </w:r>
          </w:p>
        </w:tc>
      </w:tr>
      <w:tr>
        <w:trPr>
          <w:trHeight w:val="251"/>
        </w:trPr>
        <w:tc>
          <w:tcPr>
            <w:tcW w:w="97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(loss) included in net income</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7"/>
        </w:trPr>
        <w:tc>
          <w:tcPr>
            <w:tcW w:w="97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Tax effect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97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Other comprehensive income</w:t>
            </w: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30"/>
        </w:trPr>
        <w:tc>
          <w:tcPr>
            <w:tcW w:w="9720" w:type="dxa"/>
            <w:vAlign w:val="bottom"/>
          </w:tcPr>
          <w:p>
            <w:pPr>
              <w:ind w:left="40"/>
              <w:spacing w:after="0"/>
              <w:rPr>
                <w:sz w:val="20"/>
                <w:szCs w:val="20"/>
                <w:color w:val="auto"/>
              </w:rPr>
            </w:pPr>
            <w:r>
              <w:rPr>
                <w:rFonts w:ascii="Arial" w:cs="Arial" w:eastAsia="Arial" w:hAnsi="Arial"/>
                <w:sz w:val="16"/>
                <w:szCs w:val="16"/>
                <w:color w:val="auto"/>
              </w:rPr>
              <w:t>Balance at June 30, 2016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60" w:firstLine="405"/>
        <w:spacing w:after="0" w:line="29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 2016</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50,157</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50,157</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99,818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99,818</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19,558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19,558</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6,926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6,926</w:t>
            </w:r>
          </w:p>
        </w:tc>
      </w:tr>
      <w:tr>
        <w:trPr>
          <w:trHeight w:val="24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176,459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176,459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December 31, 2015</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27,794</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105,926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105,926</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6,989</w:t>
            </w:r>
          </w:p>
        </w:tc>
      </w:tr>
      <w:tr>
        <w:trPr>
          <w:trHeight w:val="242"/>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156,891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or effective, maturity: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9"/>
              </w:rPr>
              <w:t>June 30, 2016</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4240" w:type="dxa"/>
            <w:vAlign w:val="bottom"/>
          </w:tcPr>
          <w:p>
            <w:pPr>
              <w:spacing w:after="0"/>
              <w:rPr>
                <w:sz w:val="16"/>
                <w:szCs w:val="16"/>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20" w:type="dxa"/>
            <w:vAlign w:val="bottom"/>
          </w:tcPr>
          <w:p>
            <w:pPr>
              <w:spacing w:after="0"/>
              <w:rPr>
                <w:sz w:val="16"/>
                <w:szCs w:val="16"/>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After One Year through</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4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7"/>
              </w:rPr>
              <w:t>Year</w:t>
            </w: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7"/>
              </w:rPr>
              <w:t>Two Years</w:t>
            </w: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50,157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50,157</w:t>
            </w:r>
          </w:p>
        </w:tc>
      </w:tr>
      <w:tr>
        <w:trPr>
          <w:trHeight w:val="262"/>
        </w:trPr>
        <w:tc>
          <w:tcPr>
            <w:tcW w:w="424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68,340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31,478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99,818</w:t>
            </w: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19,558</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6,926</w:t>
            </w:r>
          </w:p>
        </w:tc>
      </w:tr>
      <w:tr>
        <w:trPr>
          <w:trHeight w:val="242"/>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136,464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176,459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6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17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22222"/>
        </w:rPr>
        <w:t>At June 30, 2016, the Company had two outstanding forward contrac</w:t>
      </w:r>
      <w:r>
        <w:rPr>
          <w:rFonts w:ascii="Arial" w:cs="Arial" w:eastAsia="Arial" w:hAnsi="Arial"/>
          <w:sz w:val="18"/>
          <w:szCs w:val="18"/>
          <w:color w:val="000000"/>
        </w:rPr>
        <w:t>ts with notional amounts of 7.8 million Euros and 4.0 million British</w:t>
      </w:r>
      <w:r>
        <w:rPr>
          <w:rFonts w:ascii="Arial" w:cs="Arial" w:eastAsia="Arial" w:hAnsi="Arial"/>
          <w:sz w:val="18"/>
          <w:szCs w:val="18"/>
          <w:color w:val="222222"/>
        </w:rPr>
        <w:t xml:space="preserve"> </w:t>
      </w:r>
      <w:r>
        <w:rPr>
          <w:rFonts w:ascii="Arial" w:cs="Arial" w:eastAsia="Arial" w:hAnsi="Arial"/>
          <w:sz w:val="18"/>
          <w:szCs w:val="18"/>
          <w:color w:val="000000"/>
        </w:rPr>
        <w:t xml:space="preserve">Pounds, which expired on July 29, 2016. </w:t>
      </w:r>
      <w:r>
        <w:rPr>
          <w:rFonts w:ascii="Arial" w:cs="Arial" w:eastAsia="Arial" w:hAnsi="Arial"/>
          <w:sz w:val="18"/>
          <w:szCs w:val="18"/>
          <w:color w:val="222222"/>
        </w:rPr>
        <w:t>At December 31, 2015, the Company had two outstanding forward contracts with notional amounts of</w:t>
      </w:r>
      <w:r>
        <w:rPr>
          <w:rFonts w:ascii="Arial" w:cs="Arial" w:eastAsia="Arial" w:hAnsi="Arial"/>
          <w:sz w:val="18"/>
          <w:szCs w:val="18"/>
          <w:color w:val="000000"/>
        </w:rPr>
        <w:t xml:space="preserve"> </w:t>
      </w:r>
      <w:r>
        <w:rPr>
          <w:rFonts w:ascii="Arial" w:cs="Arial" w:eastAsia="Arial" w:hAnsi="Arial"/>
          <w:sz w:val="18"/>
          <w:szCs w:val="18"/>
          <w:color w:val="222222"/>
        </w:rPr>
        <w:t xml:space="preserve">6.1 million Euros and 2.6 million British Pounds, which expired on January 31, 2016. These </w:t>
      </w:r>
      <w:r>
        <w:rPr>
          <w:rFonts w:ascii="Arial" w:cs="Arial" w:eastAsia="Arial" w:hAnsi="Arial"/>
          <w:sz w:val="18"/>
          <w:szCs w:val="18"/>
          <w:color w:val="231F20"/>
        </w:rPr>
        <w:t>forward contracts were entered into at the end of</w:t>
      </w:r>
      <w:r>
        <w:rPr>
          <w:rFonts w:ascii="Arial" w:cs="Arial" w:eastAsia="Arial" w:hAnsi="Arial"/>
          <w:sz w:val="18"/>
          <w:szCs w:val="18"/>
          <w:color w:val="222222"/>
        </w:rPr>
        <w:t xml:space="preserve"> </w:t>
      </w:r>
      <w:r>
        <w:rPr>
          <w:rFonts w:ascii="Arial" w:cs="Arial" w:eastAsia="Arial" w:hAnsi="Arial"/>
          <w:sz w:val="18"/>
          <w:szCs w:val="18"/>
          <w:color w:val="231F20"/>
        </w:rPr>
        <w:t xml:space="preserve">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June 30, 2016</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2015</w:t>
      </w:r>
      <w:r>
        <w:rPr>
          <w:rFonts w:ascii="Arial" w:cs="Arial" w:eastAsia="Arial" w:hAnsi="Arial"/>
          <w:sz w:val="18"/>
          <w:szCs w:val="18"/>
          <w:color w:val="222222"/>
        </w:rPr>
        <w:t>. For the three months ended June 30,</w:t>
      </w:r>
      <w:r>
        <w:rPr>
          <w:rFonts w:ascii="Arial" w:cs="Arial" w:eastAsia="Arial" w:hAnsi="Arial"/>
          <w:sz w:val="18"/>
          <w:szCs w:val="18"/>
          <w:color w:val="231F20"/>
        </w:rPr>
        <w:t xml:space="preserve"> </w:t>
      </w:r>
      <w:r>
        <w:rPr>
          <w:rFonts w:ascii="Arial" w:cs="Arial" w:eastAsia="Arial" w:hAnsi="Arial"/>
          <w:sz w:val="18"/>
          <w:szCs w:val="18"/>
          <w:color w:val="222222"/>
        </w:rPr>
        <w:t xml:space="preserve">2016, the Company recorded a gain of $0.6 million </w:t>
      </w:r>
      <w:r>
        <w:rPr>
          <w:rFonts w:ascii="Arial" w:cs="Arial" w:eastAsia="Arial" w:hAnsi="Arial"/>
          <w:sz w:val="18"/>
          <w:szCs w:val="18"/>
          <w:color w:val="231F20"/>
        </w:rPr>
        <w:t>from these forward contracts, which partially offset other foreign currency transaction losses</w:t>
      </w:r>
      <w:r>
        <w:rPr>
          <w:rFonts w:ascii="Arial" w:cs="Arial" w:eastAsia="Arial" w:hAnsi="Arial"/>
          <w:sz w:val="18"/>
          <w:szCs w:val="18"/>
          <w:color w:val="222222"/>
        </w:rPr>
        <w:t xml:space="preserve"> </w:t>
      </w:r>
      <w:r>
        <w:rPr>
          <w:rFonts w:ascii="Arial" w:cs="Arial" w:eastAsia="Arial" w:hAnsi="Arial"/>
          <w:sz w:val="18"/>
          <w:szCs w:val="18"/>
          <w:color w:val="231F20"/>
        </w:rPr>
        <w:t>of $0.7 million. For the three months ended June 30, 2015, the Company recorded a loss of $ 0.4 million from these forward contracts, which offset other foreign currency transaction gains of $0.4 million. For the six months ended June 30, 2016, the Company recorded a gain of $0.1 million from these forward contracts, which partially offset other foreign currency transaction losses of $0.3 million. For the six months ended June 30, 2015, the Company recorded a gain of $0.4 million from these forward contracts, which partially offset other foreign currency transaction losses of $0.5 million. These derivatives did not meet the criteria to be designated as hedges. These instruments were valued using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9"/>
                <w:szCs w:val="19"/>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79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48,192</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19,243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12,484</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2,804</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3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23,917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22,627</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r>
      <w:tr>
        <w:trPr>
          <w:trHeight w:val="249"/>
        </w:trPr>
        <w:tc>
          <w:tcPr>
            <w:tcW w:w="79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32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105,021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89,474</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(58,145)</w:t>
            </w:r>
          </w:p>
        </w:tc>
      </w:tr>
      <w:tr>
        <w:trPr>
          <w:trHeight w:val="242"/>
        </w:trPr>
        <w:tc>
          <w:tcPr>
            <w:tcW w:w="79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40,025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$ 8.7 million and </w:t>
      </w:r>
      <w:r>
        <w:rPr>
          <w:rFonts w:ascii="Arial" w:cs="Arial" w:eastAsia="Arial" w:hAnsi="Arial"/>
          <w:sz w:val="18"/>
          <w:szCs w:val="18"/>
          <w:color w:val="000000"/>
        </w:rPr>
        <w:t>$ 8.4 million</w:t>
      </w:r>
      <w:r>
        <w:rPr>
          <w:rFonts w:ascii="Arial" w:cs="Arial" w:eastAsia="Arial" w:hAnsi="Arial"/>
          <w:sz w:val="18"/>
          <w:szCs w:val="18"/>
          <w:color w:val="231F20"/>
        </w:rPr>
        <w:t xml:space="preserve"> at </w:t>
      </w:r>
      <w:r>
        <w:rPr>
          <w:rFonts w:ascii="Arial" w:cs="Arial" w:eastAsia="Arial" w:hAnsi="Arial"/>
          <w:sz w:val="18"/>
          <w:szCs w:val="18"/>
          <w:color w:val="000000"/>
        </w:rPr>
        <w:t>June 30, 2016</w:t>
      </w:r>
      <w:r>
        <w:rPr>
          <w:rFonts w:ascii="Arial" w:cs="Arial" w:eastAsia="Arial" w:hAnsi="Arial"/>
          <w:sz w:val="18"/>
          <w:szCs w:val="18"/>
          <w:color w:val="231F20"/>
        </w:rPr>
        <w:t xml:space="preserve"> and December 31, 2015, respectively, including assets that have not been placed in service of $1.6 million and </w:t>
      </w:r>
      <w:r>
        <w:rPr>
          <w:rFonts w:ascii="Arial" w:cs="Arial" w:eastAsia="Arial" w:hAnsi="Arial"/>
          <w:sz w:val="18"/>
          <w:szCs w:val="18"/>
          <w:color w:val="000000"/>
        </w:rPr>
        <w:t>$1.4</w:t>
      </w:r>
      <w:r>
        <w:rPr>
          <w:rFonts w:ascii="Arial" w:cs="Arial" w:eastAsia="Arial" w:hAnsi="Arial"/>
          <w:sz w:val="18"/>
          <w:szCs w:val="18"/>
          <w:color w:val="231F20"/>
        </w:rPr>
        <w:t xml:space="preserve"> million, respectively. Other fixed assets not placed in service at </w:t>
      </w:r>
      <w:r>
        <w:rPr>
          <w:rFonts w:ascii="Arial" w:cs="Arial" w:eastAsia="Arial" w:hAnsi="Arial"/>
          <w:sz w:val="18"/>
          <w:szCs w:val="18"/>
          <w:color w:val="000000"/>
        </w:rPr>
        <w:t>June 30, 2016</w:t>
      </w:r>
      <w:r>
        <w:rPr>
          <w:rFonts w:ascii="Arial" w:cs="Arial" w:eastAsia="Arial" w:hAnsi="Arial"/>
          <w:sz w:val="18"/>
          <w:szCs w:val="18"/>
          <w:color w:val="231F20"/>
        </w:rPr>
        <w:t xml:space="preserve"> and December 31, 2015, included in computer equipment and leasehold improvements, are approximately $ 3.9 million and </w:t>
      </w:r>
      <w:r>
        <w:rPr>
          <w:rFonts w:ascii="Arial" w:cs="Arial" w:eastAsia="Arial" w:hAnsi="Arial"/>
          <w:sz w:val="18"/>
          <w:szCs w:val="18"/>
          <w:color w:val="000000"/>
        </w:rPr>
        <w:t>$4.3 million</w:t>
      </w:r>
      <w:r>
        <w:rPr>
          <w:rFonts w:ascii="Arial" w:cs="Arial" w:eastAsia="Arial" w:hAnsi="Arial"/>
          <w:sz w:val="18"/>
          <w:szCs w:val="18"/>
          <w:color w:val="231F20"/>
        </w:rPr>
        <w:t xml:space="preserve">, respectively. Depreciation and amortization expense relating to property and equipment was $3.9 million and $3.3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and 2015, respectively, and $7.6 million and $6.4 million for the six months ended June 30, 2016 and 2015,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Goodwill and Intangible Assets, Net</w:t>
      </w:r>
    </w:p>
    <w:p>
      <w:pPr>
        <w:spacing w:after="0" w:line="227"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231F20"/>
        </w:rPr>
        <w:t>Intangible assets consist primarily of existing technology and a patent license acquired in business combinations. Acquired intangibles are amortized on a straight-line basis over the respective estimated useful lives of the assets.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520" w:type="dxa"/>
            <w:vAlign w:val="bottom"/>
          </w:tcPr>
          <w:p>
            <w:pPr>
              <w:jc w:val="center"/>
              <w:ind w:right="8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241"/>
        </w:trPr>
        <w:tc>
          <w:tcPr>
            <w:tcW w:w="51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line="20" w:lineRule="exact"/>
              <w:rPr>
                <w:sz w:val="1"/>
                <w:szCs w:val="1"/>
                <w:color w:val="auto"/>
              </w:rPr>
            </w:pPr>
          </w:p>
        </w:tc>
      </w:tr>
      <w:tr>
        <w:trPr>
          <w:trHeight w:val="247"/>
        </w:trPr>
        <w:tc>
          <w:tcPr>
            <w:tcW w:w="5160" w:type="dxa"/>
            <w:vAlign w:val="bottom"/>
            <w:tcBorders>
              <w:bottom w:val="single" w:sz="8" w:color="CCEEFF"/>
            </w:tcBorders>
            <w:vMerge w:val="continue"/>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20" w:firstLine="486"/>
        <w:spacing w:after="0" w:line="292" w:lineRule="auto"/>
        <w:rPr>
          <w:sz w:val="20"/>
          <w:szCs w:val="20"/>
          <w:color w:val="auto"/>
        </w:rPr>
      </w:pPr>
      <w:r>
        <w:rPr>
          <w:rFonts w:ascii="Arial" w:cs="Arial" w:eastAsia="Arial" w:hAnsi="Arial"/>
          <w:sz w:val="18"/>
          <w:szCs w:val="18"/>
          <w:color w:val="231F20"/>
        </w:rPr>
        <w:t xml:space="preserve">Intangibles amortization expense was $0.1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and $0.2 million for the six months ended June 30, 2016 and 2015.</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198"/>
        </w:trPr>
        <w:tc>
          <w:tcPr>
            <w:tcW w:w="1260" w:type="dxa"/>
            <w:vAlign w:val="bottom"/>
            <w:tcBorders>
              <w:top w:val="single" w:sz="8" w:color="0000EE"/>
            </w:tcBorders>
          </w:tcPr>
          <w:p>
            <w:pPr>
              <w:spacing w:after="0"/>
              <w:rPr>
                <w:sz w:val="17"/>
                <w:szCs w:val="17"/>
                <w:color w:val="auto"/>
              </w:rPr>
            </w:pPr>
          </w:p>
        </w:tc>
        <w:tc>
          <w:tcPr>
            <w:tcW w:w="8680" w:type="dxa"/>
            <w:vAlign w:val="bottom"/>
          </w:tcPr>
          <w:p>
            <w:pPr>
              <w:jc w:val="center"/>
              <w:ind w:left="130"/>
              <w:spacing w:after="0" w:line="198" w:lineRule="exact"/>
              <w:rPr>
                <w:sz w:val="20"/>
                <w:szCs w:val="20"/>
                <w:color w:val="auto"/>
              </w:rPr>
            </w:pPr>
            <w:r>
              <w:rPr>
                <w:rFonts w:ascii="Arial" w:cs="Arial" w:eastAsia="Arial" w:hAnsi="Arial"/>
                <w:sz w:val="18"/>
                <w:szCs w:val="18"/>
                <w:b w:val="1"/>
                <w:bCs w:val="1"/>
                <w:color w:val="231F20"/>
              </w:rPr>
              <w:t>Qualys, Inc.</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w w:val="99"/>
              </w:rPr>
              <w:t>NOTES TO CONDENSED CONSOLIDATED FINANCIAL STATEMENTS (Continued)</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3"/>
        </w:trPr>
        <w:tc>
          <w:tcPr>
            <w:tcW w:w="1260" w:type="dxa"/>
            <w:vAlign w:val="bottom"/>
          </w:tcPr>
          <w:p>
            <w:pPr>
              <w:spacing w:after="0"/>
              <w:rPr>
                <w:sz w:val="21"/>
                <w:szCs w:val="21"/>
                <w:color w:val="auto"/>
              </w:rPr>
            </w:pPr>
          </w:p>
        </w:tc>
        <w:tc>
          <w:tcPr>
            <w:tcW w:w="8680" w:type="dxa"/>
            <w:vAlign w:val="bottom"/>
          </w:tcPr>
          <w:p>
            <w:pPr>
              <w:jc w:val="center"/>
              <w:ind w:left="150"/>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451"/>
        </w:trPr>
        <w:tc>
          <w:tcPr>
            <w:tcW w:w="9940" w:type="dxa"/>
            <w:vAlign w:val="bottom"/>
            <w:gridSpan w:val="2"/>
          </w:tcPr>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2016</w:t>
            </w:r>
            <w:r>
              <w:rPr>
                <w:rFonts w:ascii="Arial" w:cs="Arial" w:eastAsia="Arial" w:hAnsi="Arial"/>
                <w:sz w:val="18"/>
                <w:szCs w:val="18"/>
                <w:color w:val="231F20"/>
              </w:rPr>
              <w:t>, the Company expects amortization expense in future periods to be as follows (in thousands):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1"/>
        </w:trPr>
        <w:tc>
          <w:tcPr>
            <w:tcW w:w="1260" w:type="dxa"/>
            <w:vAlign w:val="bottom"/>
          </w:tcPr>
          <w:p>
            <w:pPr>
              <w:spacing w:after="0"/>
              <w:rPr>
                <w:sz w:val="11"/>
                <w:szCs w:val="11"/>
                <w:color w:val="auto"/>
              </w:rPr>
            </w:pPr>
          </w:p>
        </w:tc>
        <w:tc>
          <w:tcPr>
            <w:tcW w:w="8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4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2016</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5"/>
        </w:trPr>
        <w:tc>
          <w:tcPr>
            <w:tcW w:w="1260" w:type="dxa"/>
            <w:vAlign w:val="bottom"/>
          </w:tcPr>
          <w:p>
            <w:pPr>
              <w:ind w:left="40"/>
              <w:spacing w:after="0"/>
              <w:rPr>
                <w:sz w:val="20"/>
                <w:szCs w:val="20"/>
                <w:color w:val="auto"/>
              </w:rPr>
            </w:pPr>
            <w:r>
              <w:rPr>
                <w:rFonts w:ascii="Arial" w:cs="Arial" w:eastAsia="Arial" w:hAnsi="Arial"/>
                <w:sz w:val="16"/>
                <w:szCs w:val="16"/>
                <w:color w:val="auto"/>
              </w:rPr>
              <w:t>2017</w:t>
            </w:r>
          </w:p>
        </w:tc>
        <w:tc>
          <w:tcPr>
            <w:tcW w:w="8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25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86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5"/>
        </w:trPr>
        <w:tc>
          <w:tcPr>
            <w:tcW w:w="1260" w:type="dxa"/>
            <w:vAlign w:val="bottom"/>
          </w:tcPr>
          <w:p>
            <w:pPr>
              <w:ind w:left="40"/>
              <w:spacing w:after="0"/>
              <w:rPr>
                <w:sz w:val="20"/>
                <w:szCs w:val="20"/>
                <w:color w:val="auto"/>
              </w:rPr>
            </w:pPr>
            <w:r>
              <w:rPr>
                <w:rFonts w:ascii="Arial" w:cs="Arial" w:eastAsia="Arial" w:hAnsi="Arial"/>
                <w:sz w:val="16"/>
                <w:szCs w:val="16"/>
                <w:color w:val="auto"/>
              </w:rPr>
              <w:t>2019</w:t>
            </w:r>
          </w:p>
        </w:tc>
        <w:tc>
          <w:tcPr>
            <w:tcW w:w="8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51"/>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86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w:t>
            </w:r>
          </w:p>
        </w:tc>
      </w:tr>
      <w:tr>
        <w:trPr>
          <w:trHeight w:val="242"/>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r>
      <w:tr>
        <w:trPr>
          <w:trHeight w:val="20"/>
        </w:trPr>
        <w:tc>
          <w:tcPr>
            <w:tcW w:w="126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Goodwill, which is not subject to amortization, totaled $0.3 million as of </w:t>
      </w:r>
      <w:r>
        <w:rPr>
          <w:rFonts w:ascii="Arial" w:cs="Arial" w:eastAsia="Arial" w:hAnsi="Arial"/>
          <w:sz w:val="18"/>
          <w:szCs w:val="18"/>
          <w:color w:val="000000"/>
        </w:rPr>
        <w:t>June 30, 2016</w:t>
      </w:r>
      <w:r>
        <w:rPr>
          <w:rFonts w:ascii="Arial" w:cs="Arial" w:eastAsia="Arial" w:hAnsi="Arial"/>
          <w:sz w:val="18"/>
          <w:szCs w:val="18"/>
          <w:color w:val="231F20"/>
        </w:rPr>
        <w:t xml:space="preserve"> and December 31, 2015.</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Commitments and Contingencies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71"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2022.</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June 30, 2016</w:t>
      </w:r>
      <w:r>
        <w:rPr>
          <w:rFonts w:ascii="Arial" w:cs="Arial" w:eastAsia="Arial" w:hAnsi="Arial"/>
          <w:sz w:val="18"/>
          <w:szCs w:val="18"/>
          <w:color w:val="231F20"/>
        </w:rPr>
        <w:t xml:space="preserv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2016</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3,089</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1,544</w:t>
            </w:r>
          </w:p>
        </w:tc>
      </w:tr>
      <w:tr>
        <w:trPr>
          <w:trHeight w:val="235"/>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1,143</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949</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2021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w:t>
            </w:r>
          </w:p>
        </w:tc>
      </w:tr>
      <w:tr>
        <w:trPr>
          <w:trHeight w:val="242"/>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9,495</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231F20"/>
        </w:rPr>
        <w:t xml:space="preserve">Rent expense was $1.8 million and $1.7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respectively, and $3.5 million and $3.3 million for the six months ended June 30, 2016 and 2015,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 xml:space="preserve">June 30, 2016 </w:t>
      </w:r>
      <w:r>
        <w:rPr>
          <w:rFonts w:ascii="Arial" w:cs="Arial" w:eastAsia="Arial" w:hAnsi="Arial"/>
          <w:sz w:val="18"/>
          <w:szCs w:val="18"/>
          <w:color w:val="231F20"/>
        </w:rPr>
        <w:t>and</w:t>
      </w:r>
      <w:r>
        <w:rPr>
          <w:rFonts w:ascii="Arial" w:cs="Arial" w:eastAsia="Arial" w:hAnsi="Arial"/>
          <w:sz w:val="18"/>
          <w:szCs w:val="18"/>
          <w:color w:val="000000"/>
        </w:rPr>
        <w:t xml:space="preserve"> December 31, 2015</w:t>
      </w:r>
      <w:r>
        <w:rPr>
          <w:rFonts w:ascii="Arial" w:cs="Arial" w:eastAsia="Arial" w:hAnsi="Arial"/>
          <w:sz w:val="18"/>
          <w:szCs w:val="18"/>
          <w:color w:val="231F20"/>
        </w:rPr>
        <w:t>, the Company has accrued $0.4 million and $0.5 million, respectively, of deferred rent related to these</w:t>
      </w:r>
      <w:r>
        <w:rPr>
          <w:rFonts w:ascii="Arial" w:cs="Arial" w:eastAsia="Arial" w:hAnsi="Arial"/>
          <w:sz w:val="18"/>
          <w:szCs w:val="18"/>
          <w:color w:val="000000"/>
        </w:rPr>
        <w:t xml:space="preserve"> </w:t>
      </w:r>
      <w:r>
        <w:rPr>
          <w:rFonts w:ascii="Arial" w:cs="Arial" w:eastAsia="Arial" w:hAnsi="Arial"/>
          <w:sz w:val="18"/>
          <w:szCs w:val="18"/>
          <w:color w:val="231F20"/>
        </w:rPr>
        <w:t>agreements, which is reflected in accrued liabilities and other noncurrent liabilities in the accompanying condensed consolidated balance sheets.</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71"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7" w:lineRule="exact"/>
        <w:rPr>
          <w:sz w:val="20"/>
          <w:szCs w:val="20"/>
          <w:color w:val="auto"/>
        </w:rPr>
      </w:pPr>
    </w:p>
    <w:p>
      <w:pPr>
        <w:ind w:right="560" w:firstLine="486"/>
        <w:spacing w:after="0" w:line="29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71" w:lineRule="exact"/>
        <w:rPr>
          <w:sz w:val="20"/>
          <w:szCs w:val="20"/>
          <w:color w:val="auto"/>
        </w:rPr>
      </w:pPr>
    </w:p>
    <w:p>
      <w:pPr>
        <w:ind w:right="420" w:firstLine="486"/>
        <w:spacing w:after="0" w:line="271"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June 30, 2016</w:t>
      </w:r>
      <w:r>
        <w:rPr>
          <w:rFonts w:ascii="Arial" w:cs="Arial" w:eastAsia="Arial" w:hAnsi="Arial"/>
          <w:sz w:val="18"/>
          <w:szCs w:val="18"/>
          <w:color w:val="231F20"/>
        </w:rPr>
        <w:t>, the Company has not recorded any material liabilities in accordance with accounting for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Stock-based Compensation</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23"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8,069,184</w:t>
      </w:r>
      <w:r>
        <w:rPr>
          <w:rFonts w:ascii="Arial" w:cs="Arial" w:eastAsia="Arial" w:hAnsi="Arial"/>
          <w:sz w:val="18"/>
          <w:szCs w:val="18"/>
          <w:color w:val="231F20"/>
        </w:rPr>
        <w:t xml:space="preserve"> shares of common stock. Options may be granted with an exercise price that is at least equal to the fair market value of the Company's stock at the date of grant and are exercisable when vested. As of June 30, 2016, </w:t>
      </w:r>
      <w:r>
        <w:rPr>
          <w:rFonts w:ascii="Arial" w:cs="Arial" w:eastAsia="Arial" w:hAnsi="Arial"/>
          <w:sz w:val="18"/>
          <w:szCs w:val="18"/>
          <w:color w:val="000000"/>
        </w:rPr>
        <w:t>1,574,751</w:t>
      </w:r>
      <w:r>
        <w:rPr>
          <w:rFonts w:ascii="Arial" w:cs="Arial" w:eastAsia="Arial" w:hAnsi="Arial"/>
          <w:sz w:val="18"/>
          <w:szCs w:val="18"/>
          <w:color w:val="231F20"/>
        </w:rPr>
        <w:t xml:space="preserve"> shares were available for grant under the 2012 Plan.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23" w:lineRule="exact"/>
        <w:rPr>
          <w:sz w:val="20"/>
          <w:szCs w:val="20"/>
          <w:color w:val="auto"/>
        </w:rPr>
      </w:pPr>
    </w:p>
    <w:p>
      <w:pPr>
        <w:ind w:right="20" w:firstLine="405"/>
        <w:spacing w:after="0" w:line="271"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grant under the 2000 Plan. The 2000 Plan continues to govern outstanding awards granted thereunder.</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25"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 for the three and six months ended June 30, 2016 and 2015.</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25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0"/>
        </w:trPr>
        <w:tc>
          <w:tcPr>
            <w:tcW w:w="5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1,493</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2,290</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1,389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2,017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3,504</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5,322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8,257</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2016</w:t>
      </w:r>
      <w:r>
        <w:rPr>
          <w:rFonts w:ascii="Arial" w:cs="Arial" w:eastAsia="Arial" w:hAnsi="Arial"/>
          <w:sz w:val="18"/>
          <w:szCs w:val="18"/>
          <w:color w:val="231F20"/>
        </w:rPr>
        <w:t xml:space="preserve">, the Company had </w:t>
      </w:r>
      <w:r>
        <w:rPr>
          <w:rFonts w:ascii="Arial" w:cs="Arial" w:eastAsia="Arial" w:hAnsi="Arial"/>
          <w:sz w:val="18"/>
          <w:szCs w:val="18"/>
          <w:color w:val="000000"/>
        </w:rPr>
        <w:t>$28.1 million</w:t>
      </w:r>
      <w:r>
        <w:rPr>
          <w:rFonts w:ascii="Arial" w:cs="Arial" w:eastAsia="Arial" w:hAnsi="Arial"/>
          <w:sz w:val="18"/>
          <w:szCs w:val="18"/>
          <w:color w:val="231F20"/>
        </w:rPr>
        <w:t xml:space="preserve"> of total unrecognized employee compensation cost related to unvested option awards that it expects to recognize over a weighted-average period of </w:t>
      </w:r>
      <w:r>
        <w:rPr>
          <w:rFonts w:ascii="Arial" w:cs="Arial" w:eastAsia="Arial" w:hAnsi="Arial"/>
          <w:sz w:val="18"/>
          <w:szCs w:val="18"/>
          <w:color w:val="000000"/>
        </w:rPr>
        <w:t>3.0</w:t>
      </w:r>
      <w:r>
        <w:rPr>
          <w:rFonts w:ascii="Arial" w:cs="Arial" w:eastAsia="Arial" w:hAnsi="Arial"/>
          <w:sz w:val="18"/>
          <w:szCs w:val="18"/>
          <w:color w:val="231F20"/>
        </w:rPr>
        <w:t xml:space="preserve"> years, and </w:t>
      </w:r>
      <w:r>
        <w:rPr>
          <w:rFonts w:ascii="Arial" w:cs="Arial" w:eastAsia="Arial" w:hAnsi="Arial"/>
          <w:sz w:val="18"/>
          <w:szCs w:val="18"/>
          <w:color w:val="000000"/>
        </w:rPr>
        <w:t>$7.3 million of unrecognized compensation cost related to</w:t>
      </w:r>
      <w:r>
        <w:rPr>
          <w:rFonts w:ascii="Arial" w:cs="Arial" w:eastAsia="Arial" w:hAnsi="Arial"/>
          <w:sz w:val="18"/>
          <w:szCs w:val="18"/>
          <w:color w:val="231F20"/>
        </w:rPr>
        <w:t xml:space="preserve"> </w:t>
      </w:r>
      <w:r>
        <w:rPr>
          <w:rFonts w:ascii="Arial" w:cs="Arial" w:eastAsia="Arial" w:hAnsi="Arial"/>
          <w:sz w:val="18"/>
          <w:szCs w:val="18"/>
          <w:color w:val="000000"/>
        </w:rPr>
        <w:t xml:space="preserve">unvested stock awards that it expects to recognize over a weighted-average period of 3.6 years. </w:t>
      </w:r>
      <w:r>
        <w:rPr>
          <w:rFonts w:ascii="Arial" w:cs="Arial" w:eastAsia="Arial" w:hAnsi="Arial"/>
          <w:sz w:val="18"/>
          <w:szCs w:val="18"/>
          <w:color w:val="231F20"/>
        </w:rPr>
        <w:t>Compensation cost is recognized on a</w:t>
      </w:r>
      <w:r>
        <w:rPr>
          <w:rFonts w:ascii="Arial" w:cs="Arial" w:eastAsia="Arial" w:hAnsi="Arial"/>
          <w:sz w:val="18"/>
          <w:szCs w:val="18"/>
          <w:color w:val="000000"/>
        </w:rPr>
        <w:t xml:space="preserve"> </w:t>
      </w:r>
      <w:r>
        <w:rPr>
          <w:rFonts w:ascii="Arial" w:cs="Arial" w:eastAsia="Arial" w:hAnsi="Arial"/>
          <w:sz w:val="18"/>
          <w:szCs w:val="18"/>
          <w:color w:val="231F20"/>
        </w:rPr>
        <w:t>straight-line basis over the 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Employee Stock-based Compensation</w:t>
      </w:r>
    </w:p>
    <w:p>
      <w:pPr>
        <w:spacing w:after="0" w:line="223"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2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60" w:type="dxa"/>
            <w:vAlign w:val="bottom"/>
            <w:gridSpan w:val="4"/>
          </w:tcPr>
          <w:p>
            <w:pPr>
              <w:jc w:val="center"/>
              <w:ind w:right="1260"/>
              <w:spacing w:after="0"/>
              <w:rPr>
                <w:sz w:val="20"/>
                <w:szCs w:val="20"/>
                <w:color w:val="auto"/>
              </w:rPr>
            </w:pPr>
            <w:r>
              <w:rPr>
                <w:rFonts w:ascii="Arial" w:cs="Arial" w:eastAsia="Arial" w:hAnsi="Arial"/>
                <w:sz w:val="16"/>
                <w:szCs w:val="16"/>
                <w:b w:val="1"/>
                <w:bCs w:val="1"/>
                <w:color w:val="auto"/>
                <w:w w:val="99"/>
              </w:rPr>
              <w:t>June 30,</w:t>
            </w:r>
          </w:p>
        </w:tc>
        <w:tc>
          <w:tcPr>
            <w:tcW w:w="1200" w:type="dxa"/>
            <w:vAlign w:val="bottom"/>
          </w:tcPr>
          <w:p>
            <w:pPr>
              <w:spacing w:after="0"/>
              <w:rPr>
                <w:sz w:val="23"/>
                <w:szCs w:val="23"/>
                <w:color w:val="auto"/>
              </w:rPr>
            </w:pPr>
          </w:p>
        </w:tc>
        <w:tc>
          <w:tcPr>
            <w:tcW w:w="1860" w:type="dxa"/>
            <w:vAlign w:val="bottom"/>
            <w:gridSpan w:val="3"/>
          </w:tcPr>
          <w:p>
            <w:pPr>
              <w:jc w:val="center"/>
              <w:ind w:right="1119"/>
              <w:spacing w:after="0"/>
              <w:rPr>
                <w:sz w:val="20"/>
                <w:szCs w:val="20"/>
                <w:color w:val="auto"/>
              </w:rPr>
            </w:pPr>
            <w:r>
              <w:rPr>
                <w:rFonts w:ascii="Arial" w:cs="Arial" w:eastAsia="Arial" w:hAnsi="Arial"/>
                <w:sz w:val="16"/>
                <w:szCs w:val="16"/>
                <w:b w:val="1"/>
                <w:bCs w:val="1"/>
                <w:color w:val="auto"/>
              </w:rPr>
              <w:t>June 30,</w:t>
            </w:r>
          </w:p>
        </w:tc>
      </w:tr>
      <w:tr>
        <w:trPr>
          <w:trHeight w:val="264"/>
        </w:trPr>
        <w:tc>
          <w:tcPr>
            <w:tcW w:w="516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1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5.0 to 5.9</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4.9 to 5.9</w:t>
            </w:r>
          </w:p>
        </w:tc>
        <w:tc>
          <w:tcPr>
            <w:tcW w:w="120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5.0 to 5.9</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4.9 to 5.9</w:t>
            </w:r>
          </w:p>
        </w:tc>
      </w:tr>
      <w:tr>
        <w:trPr>
          <w:trHeight w:val="262"/>
        </w:trPr>
        <w:tc>
          <w:tcPr>
            <w:tcW w:w="51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140" w:type="dxa"/>
            <w:vAlign w:val="bottom"/>
          </w:tcPr>
          <w:p>
            <w:pPr>
              <w:jc w:val="center"/>
              <w:ind w:left="259"/>
              <w:spacing w:after="0"/>
              <w:rPr>
                <w:sz w:val="20"/>
                <w:szCs w:val="20"/>
                <w:color w:val="auto"/>
              </w:rPr>
            </w:pPr>
            <w:r>
              <w:rPr>
                <w:rFonts w:ascii="Arial" w:cs="Arial" w:eastAsia="Arial" w:hAnsi="Arial"/>
                <w:sz w:val="16"/>
                <w:szCs w:val="16"/>
                <w:color w:val="auto"/>
                <w:w w:val="99"/>
              </w:rPr>
              <w:t>46%</w:t>
            </w:r>
          </w:p>
        </w:tc>
        <w:tc>
          <w:tcPr>
            <w:tcW w:w="1940" w:type="dxa"/>
            <w:vAlign w:val="bottom"/>
            <w:gridSpan w:val="3"/>
          </w:tcPr>
          <w:p>
            <w:pPr>
              <w:jc w:val="center"/>
              <w:ind w:left="379"/>
              <w:spacing w:after="0"/>
              <w:rPr>
                <w:sz w:val="20"/>
                <w:szCs w:val="20"/>
                <w:color w:val="auto"/>
              </w:rPr>
            </w:pPr>
            <w:r>
              <w:rPr>
                <w:rFonts w:ascii="Arial" w:cs="Arial" w:eastAsia="Arial" w:hAnsi="Arial"/>
                <w:sz w:val="16"/>
                <w:szCs w:val="16"/>
                <w:color w:val="auto"/>
                <w:w w:val="99"/>
              </w:rPr>
              <w:t>46%</w:t>
            </w:r>
          </w:p>
        </w:tc>
        <w:tc>
          <w:tcPr>
            <w:tcW w:w="120" w:type="dxa"/>
            <w:vAlign w:val="bottom"/>
          </w:tcPr>
          <w:p>
            <w:pPr>
              <w:spacing w:after="0"/>
              <w:rPr>
                <w:sz w:val="22"/>
                <w:szCs w:val="22"/>
                <w:color w:val="auto"/>
              </w:rPr>
            </w:pPr>
          </w:p>
        </w:tc>
        <w:tc>
          <w:tcPr>
            <w:tcW w:w="1200" w:type="dxa"/>
            <w:vAlign w:val="bottom"/>
          </w:tcPr>
          <w:p>
            <w:pPr>
              <w:jc w:val="center"/>
              <w:ind w:left="199"/>
              <w:spacing w:after="0"/>
              <w:rPr>
                <w:sz w:val="20"/>
                <w:szCs w:val="20"/>
                <w:color w:val="auto"/>
              </w:rPr>
            </w:pPr>
            <w:r>
              <w:rPr>
                <w:rFonts w:ascii="Arial" w:cs="Arial" w:eastAsia="Arial" w:hAnsi="Arial"/>
                <w:sz w:val="16"/>
                <w:szCs w:val="16"/>
                <w:color w:val="auto"/>
              </w:rPr>
              <w:t>45% to 46%</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46% to 48%</w:t>
            </w: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140" w:type="dxa"/>
            <w:vAlign w:val="bottom"/>
            <w:shd w:val="clear" w:color="auto" w:fill="CCEEFF"/>
          </w:tcPr>
          <w:p>
            <w:pPr>
              <w:jc w:val="center"/>
              <w:ind w:left="259"/>
              <w:spacing w:after="0"/>
              <w:rPr>
                <w:sz w:val="20"/>
                <w:szCs w:val="20"/>
                <w:color w:val="auto"/>
              </w:rPr>
            </w:pPr>
            <w:r>
              <w:rPr>
                <w:rFonts w:ascii="Arial" w:cs="Arial" w:eastAsia="Arial" w:hAnsi="Arial"/>
                <w:sz w:val="16"/>
                <w:szCs w:val="16"/>
                <w:color w:val="auto"/>
                <w:w w:val="98"/>
              </w:rPr>
              <w:t>1.3%</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1.5% to 1.65%</w:t>
            </w:r>
          </w:p>
        </w:tc>
        <w:tc>
          <w:tcPr>
            <w:tcW w:w="120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w w:val="98"/>
              </w:rPr>
              <w:t>1.3%</w:t>
            </w: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 to 1.65%</w:t>
            </w:r>
          </w:p>
        </w:tc>
      </w:tr>
      <w:tr>
        <w:trPr>
          <w:trHeight w:val="255"/>
        </w:trPr>
        <w:tc>
          <w:tcPr>
            <w:tcW w:w="51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140" w:type="dxa"/>
            <w:vAlign w:val="bottom"/>
          </w:tcPr>
          <w:p>
            <w:pPr>
              <w:jc w:val="center"/>
              <w:ind w:left="239"/>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00" w:type="dxa"/>
            <w:vAlign w:val="bottom"/>
          </w:tcPr>
          <w:p>
            <w:pPr>
              <w:jc w:val="center"/>
              <w:ind w:left="2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09"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declared any dividends and does not expect to in the future.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23"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8"/>
          <w:szCs w:val="18"/>
          <w:color w:val="231F20"/>
        </w:rPr>
        <w:t>The Company records compensation representing the fair value of stock options granted to non-employees. Non-employee stock-based compensation is recognized over the vesting periods of the options. The value of options granted to non-employees is remeasured as they vest over their respective performance period.</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Stock Option Plan Activity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32"/>
        </w:trPr>
        <w:tc>
          <w:tcPr>
            <w:tcW w:w="5040" w:type="dxa"/>
            <w:vAlign w:val="bottom"/>
          </w:tcPr>
          <w:p>
            <w:pPr>
              <w:spacing w:after="0"/>
              <w:rPr>
                <w:sz w:val="20"/>
                <w:szCs w:val="20"/>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20"/>
                <w:szCs w:val="20"/>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4"/>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7,579,058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131,345</w:t>
            </w:r>
          </w:p>
        </w:tc>
      </w:tr>
      <w:tr>
        <w:trPr>
          <w:trHeight w:val="262"/>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1,807,583</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(949,337)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(456,894)</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7,980,410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99,582</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June 30, 2016</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7,117,832</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17.52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96,606</w:t>
            </w: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June 30, 2016</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4,922,644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89,245</w:t>
            </w: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25" w:lineRule="exact"/>
        <w:rPr>
          <w:sz w:val="20"/>
          <w:szCs w:val="20"/>
          <w:color w:val="auto"/>
        </w:rPr>
      </w:pPr>
    </w:p>
    <w:p>
      <w:pPr>
        <w:ind w:right="320" w:firstLine="486"/>
        <w:spacing w:after="0" w:line="271" w:lineRule="auto"/>
        <w:rPr>
          <w:sz w:val="20"/>
          <w:szCs w:val="20"/>
          <w:color w:val="auto"/>
        </w:rPr>
      </w:pPr>
      <w:r>
        <w:rPr>
          <w:rFonts w:ascii="Arial" w:cs="Arial" w:eastAsia="Arial" w:hAnsi="Arial"/>
          <w:sz w:val="18"/>
          <w:szCs w:val="18"/>
          <w:color w:val="231F20"/>
        </w:rPr>
        <w:t>The terms and conditions of RSUs and RSAs, including vesting criteria and timing are set by the board of directors. The cost of RSUs and RSAs is determined using the fair value of the Company’s common stock on the date of grant. Compensation cost is recognized on a straight-line basis over the requisite service period of each grant, adjusted for estimated forfeitures.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activity is as follows:</w:t>
      </w:r>
    </w:p>
    <w:p>
      <w:pPr>
        <w:spacing w:after="0" w:line="376"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7880" w:type="dxa"/>
            <w:vAlign w:val="bottom"/>
          </w:tcPr>
          <w:p>
            <w:pPr>
              <w:spacing w:after="0"/>
              <w:rPr>
                <w:sz w:val="16"/>
                <w:szCs w:val="16"/>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9"/>
              <w:spacing w:after="0"/>
              <w:rPr>
                <w:sz w:val="20"/>
                <w:szCs w:val="20"/>
                <w:color w:val="auto"/>
              </w:rPr>
            </w:pPr>
            <w:r>
              <w:rPr>
                <w:rFonts w:ascii="Arial" w:cs="Arial" w:eastAsia="Arial" w:hAnsi="Arial"/>
                <w:sz w:val="16"/>
                <w:szCs w:val="16"/>
                <w:b w:val="1"/>
                <w:bCs w:val="1"/>
                <w:color w:val="auto"/>
              </w:rPr>
              <w:t>Average Fair</w:t>
            </w:r>
          </w:p>
        </w:tc>
      </w:tr>
      <w:tr>
        <w:trPr>
          <w:trHeight w:val="232"/>
        </w:trPr>
        <w:tc>
          <w:tcPr>
            <w:tcW w:w="7880" w:type="dxa"/>
            <w:vAlign w:val="bottom"/>
          </w:tcPr>
          <w:p>
            <w:pPr>
              <w:spacing w:after="0"/>
              <w:rPr>
                <w:sz w:val="20"/>
                <w:szCs w:val="20"/>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RSUs</w:t>
            </w:r>
          </w:p>
        </w:tc>
        <w:tc>
          <w:tcPr>
            <w:tcW w:w="100" w:type="dxa"/>
            <w:vAlign w:val="bottom"/>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Value Per Share</w:t>
            </w:r>
          </w:p>
        </w:tc>
      </w:tr>
      <w:tr>
        <w:trPr>
          <w:trHeight w:val="281"/>
        </w:trPr>
        <w:tc>
          <w:tcPr>
            <w:tcW w:w="7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2015</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37.28</w:t>
            </w:r>
          </w:p>
        </w:tc>
      </w:tr>
      <w:tr>
        <w:trPr>
          <w:trHeight w:val="262"/>
        </w:trPr>
        <w:tc>
          <w:tcPr>
            <w:tcW w:w="7880" w:type="dxa"/>
            <w:vAlign w:val="bottom"/>
          </w:tcPr>
          <w:p>
            <w:pPr>
              <w:ind w:left="26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470,383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26.07</w:t>
            </w:r>
          </w:p>
        </w:tc>
      </w:tr>
      <w:tr>
        <w:trPr>
          <w:trHeight w:val="278"/>
        </w:trPr>
        <w:tc>
          <w:tcPr>
            <w:tcW w:w="7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Released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35.33</w:t>
            </w:r>
          </w:p>
        </w:tc>
      </w:tr>
      <w:tr>
        <w:trPr>
          <w:trHeight w:val="264"/>
        </w:trPr>
        <w:tc>
          <w:tcPr>
            <w:tcW w:w="7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(56,768)</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34.33</w:t>
            </w:r>
          </w:p>
        </w:tc>
      </w:tr>
      <w:tr>
        <w:trPr>
          <w:trHeight w:val="24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30, 2016</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455,115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26.08</w:t>
            </w:r>
          </w:p>
        </w:tc>
      </w:tr>
      <w:tr>
        <w:trPr>
          <w:trHeight w:val="20"/>
        </w:trPr>
        <w:tc>
          <w:tcPr>
            <w:tcW w:w="7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Outstanding and expected to vest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288,843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26.21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Other Income (Expense), Net</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25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0"/>
        </w:trPr>
        <w:tc>
          <w:tcPr>
            <w:tcW w:w="5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42"/>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7" w:lineRule="exact"/>
        <w:rPr>
          <w:sz w:val="20"/>
          <w:szCs w:val="20"/>
          <w:color w:val="auto"/>
        </w:rPr>
      </w:pPr>
    </w:p>
    <w:p>
      <w:pPr>
        <w:ind w:right="360" w:firstLine="486"/>
        <w:spacing w:after="0" w:line="271" w:lineRule="auto"/>
        <w:rPr>
          <w:sz w:val="20"/>
          <w:szCs w:val="20"/>
          <w:color w:val="auto"/>
        </w:rPr>
      </w:pPr>
      <w:r>
        <w:rPr>
          <w:rFonts w:ascii="Arial" w:cs="Arial" w:eastAsia="Arial" w:hAnsi="Arial"/>
          <w:sz w:val="18"/>
          <w:szCs w:val="18"/>
          <w:color w:val="auto"/>
        </w:rPr>
        <w:t>The Company recorded an income tax provision of $2.2 million and $2.1 million for the three months ended June 30, 2016 and 2015, respectively. The effective income tax rate was approximately 38.5% and 39.0% for the three months ended June 30, 2016 and 2015, respectively.</w:t>
      </w:r>
    </w:p>
    <w:p>
      <w:pPr>
        <w:spacing w:after="0" w:line="163" w:lineRule="exact"/>
        <w:rPr>
          <w:sz w:val="20"/>
          <w:szCs w:val="20"/>
          <w:color w:val="auto"/>
        </w:rPr>
      </w:pPr>
    </w:p>
    <w:p>
      <w:pPr>
        <w:ind w:right="560" w:firstLine="486"/>
        <w:spacing w:after="0" w:line="271" w:lineRule="auto"/>
        <w:rPr>
          <w:sz w:val="20"/>
          <w:szCs w:val="20"/>
          <w:color w:val="auto"/>
        </w:rPr>
      </w:pPr>
      <w:r>
        <w:rPr>
          <w:rFonts w:ascii="Arial" w:cs="Arial" w:eastAsia="Arial" w:hAnsi="Arial"/>
          <w:sz w:val="18"/>
          <w:szCs w:val="18"/>
          <w:color w:val="auto"/>
        </w:rPr>
        <w:t>The Company recorded an income tax provision of $5.2 million and $4.0 million for the six months ended June 30, 2016 and 2015, respectively. The effective income tax rate was approximately 38.4% and 38.6% for the six months ended June 30, 2016 and 2015, respectively.</w:t>
      </w:r>
    </w:p>
    <w:p>
      <w:pPr>
        <w:spacing w:after="0" w:line="163" w:lineRule="exact"/>
        <w:rPr>
          <w:sz w:val="20"/>
          <w:szCs w:val="20"/>
          <w:color w:val="auto"/>
        </w:rPr>
      </w:pPr>
    </w:p>
    <w:p>
      <w:pPr>
        <w:ind w:right="180" w:firstLine="486"/>
        <w:spacing w:after="0" w:line="271" w:lineRule="auto"/>
        <w:rPr>
          <w:sz w:val="20"/>
          <w:szCs w:val="20"/>
          <w:color w:val="auto"/>
        </w:rPr>
      </w:pPr>
      <w:r>
        <w:rPr>
          <w:rFonts w:ascii="Arial" w:cs="Arial" w:eastAsia="Arial" w:hAnsi="Arial"/>
          <w:sz w:val="18"/>
          <w:szCs w:val="18"/>
          <w:color w:val="231F20"/>
        </w:rPr>
        <w:t xml:space="preserve">As of June 30, 2016, the Company had unrecognized tax benefits of </w:t>
      </w:r>
      <w:r>
        <w:rPr>
          <w:rFonts w:ascii="Arial" w:cs="Arial" w:eastAsia="Arial" w:hAnsi="Arial"/>
          <w:sz w:val="18"/>
          <w:szCs w:val="18"/>
          <w:color w:val="000000"/>
        </w:rPr>
        <w:t>$4.1 million</w:t>
      </w:r>
      <w:r>
        <w:rPr>
          <w:rFonts w:ascii="Arial" w:cs="Arial" w:eastAsia="Arial" w:hAnsi="Arial"/>
          <w:sz w:val="18"/>
          <w:szCs w:val="18"/>
          <w:color w:val="231F20"/>
        </w:rPr>
        <w:t xml:space="preserve">, of which </w:t>
      </w:r>
      <w:r>
        <w:rPr>
          <w:rFonts w:ascii="Arial" w:cs="Arial" w:eastAsia="Arial" w:hAnsi="Arial"/>
          <w:sz w:val="18"/>
          <w:szCs w:val="18"/>
          <w:color w:val="000000"/>
        </w:rPr>
        <w:t>$2.5 million</w:t>
      </w:r>
      <w:r>
        <w:rPr>
          <w:rFonts w:ascii="Arial" w:cs="Arial" w:eastAsia="Arial" w:hAnsi="Arial"/>
          <w:sz w:val="18"/>
          <w:szCs w:val="18"/>
          <w:color w:val="231F20"/>
        </w:rPr>
        <w:t>, if recognized, would favorably impact the Company's effective tax rate. As of December 31, 2015, the Company had unrecognized tax benefits of $3.5 million, of which $2.1 million, if recognized, would favorably impact the Company's effective tax rate.</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does not anticipate a material change in its unrecognized tax benefits in the next 12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231F20"/>
        </w:rPr>
        <w:t>Segment Information and Information about Geographic Area</w:t>
      </w:r>
    </w:p>
    <w:p>
      <w:pPr>
        <w:spacing w:after="0" w:line="20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34,190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28,130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66,879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54,470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14,276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11,747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27,835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22,900</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48,466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77,370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9"/>
                <w:szCs w:val="19"/>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74"/>
        </w:trPr>
        <w:tc>
          <w:tcPr>
            <w:tcW w:w="83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0"/>
        </w:trPr>
        <w:tc>
          <w:tcPr>
            <w:tcW w:w="8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25,623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5,706</w:t>
            </w:r>
          </w:p>
        </w:tc>
      </w:tr>
      <w:tr>
        <w:trPr>
          <w:trHeight w:val="242"/>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31,329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27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6"/>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 except per share data)</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3,538</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6,318</w:t>
            </w:r>
          </w:p>
        </w:tc>
      </w:tr>
      <w:tr>
        <w:trPr>
          <w:trHeight w:val="256"/>
        </w:trPr>
        <w:tc>
          <w:tcPr>
            <w:tcW w:w="51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2"/>
        </w:trPr>
        <w:tc>
          <w:tcPr>
            <w:tcW w:w="5160" w:type="dxa"/>
            <w:vAlign w:val="bottom"/>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35,120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34,003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34,869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33,889</w:t>
            </w:r>
          </w:p>
        </w:tc>
      </w:tr>
      <w:tr>
        <w:trPr>
          <w:trHeight w:val="278"/>
        </w:trPr>
        <w:tc>
          <w:tcPr>
            <w:tcW w:w="51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2"/>
        </w:trPr>
        <w:tc>
          <w:tcPr>
            <w:tcW w:w="5160" w:type="dxa"/>
            <w:vAlign w:val="bottom"/>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4,474</w:t>
            </w:r>
          </w:p>
        </w:tc>
      </w:tr>
      <w:tr>
        <w:trPr>
          <w:trHeight w:val="271"/>
        </w:trPr>
        <w:tc>
          <w:tcPr>
            <w:tcW w:w="51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38,143</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38,475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37,988</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38,363</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96"/>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0.19</w:t>
            </w:r>
          </w:p>
        </w:tc>
      </w:tr>
      <w:tr>
        <w:trPr>
          <w:trHeight w:val="22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256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520" w:type="dxa"/>
            <w:vAlign w:val="bottom"/>
            <w:gridSpan w:val="4"/>
          </w:tcPr>
          <w:p>
            <w:pPr>
              <w:jc w:val="center"/>
              <w:ind w:right="43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6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r>
      <w:tr>
        <w:trPr>
          <w:trHeight w:val="264"/>
        </w:trPr>
        <w:tc>
          <w:tcPr>
            <w:tcW w:w="6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6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48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0"/>
        </w:trPr>
        <w:tc>
          <w:tcPr>
            <w:tcW w:w="516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74"/>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3,892</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3,540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66"/>
        </w:trPr>
        <w:tc>
          <w:tcPr>
            <w:tcW w:w="6100" w:type="dxa"/>
            <w:vAlign w:val="bottom"/>
            <w:gridSpan w:val="2"/>
          </w:tcPr>
          <w:p>
            <w:pPr>
              <w:ind w:left="40"/>
              <w:spacing w:after="0"/>
              <w:rPr>
                <w:sz w:val="20"/>
                <w:szCs w:val="20"/>
                <w:color w:val="auto"/>
              </w:rPr>
            </w:pPr>
            <w:r>
              <w:rPr>
                <w:rFonts w:ascii="Arial" w:cs="Arial" w:eastAsia="Arial" w:hAnsi="Arial"/>
                <w:sz w:val="16"/>
                <w:szCs w:val="16"/>
                <w:color w:val="auto"/>
              </w:rPr>
              <w:t>Restricted stock units</w:t>
            </w:r>
          </w:p>
        </w:tc>
        <w:tc>
          <w:tcPr>
            <w:tcW w:w="560" w:type="dxa"/>
            <w:vAlign w:val="bottom"/>
          </w:tcPr>
          <w:p>
            <w:pPr>
              <w:jc w:val="right"/>
              <w:ind w:right="4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51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3,902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ind w:right="80" w:firstLine="405"/>
        <w:spacing w:after="0" w:line="260"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2015, filed with the Securities and Exchange Commission, or SEC, on February 26, 2016.</w:t>
      </w:r>
    </w:p>
    <w:p>
      <w:pPr>
        <w:spacing w:after="0" w:line="2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45" w:lineRule="exact"/>
        <w:rPr>
          <w:sz w:val="20"/>
          <w:szCs w:val="20"/>
          <w:color w:val="auto"/>
        </w:rPr>
      </w:pPr>
    </w:p>
    <w:p>
      <w:pPr>
        <w:ind w:left="1060" w:right="18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8" w:lineRule="exact"/>
        <w:rPr>
          <w:rFonts w:ascii="Times New Roman" w:cs="Times New Roman" w:eastAsia="Times New Roman" w:hAnsi="Times New Roman"/>
          <w:sz w:val="18"/>
          <w:szCs w:val="18"/>
          <w:i w:val="1"/>
          <w:iCs w:val="1"/>
          <w:color w:val="auto"/>
        </w:rPr>
      </w:pPr>
    </w:p>
    <w:p>
      <w:pPr>
        <w:ind w:left="1060" w:right="320" w:hanging="323"/>
        <w:spacing w:after="0" w:line="250"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8" w:lineRule="exact"/>
        <w:rPr>
          <w:rFonts w:ascii="Times New Roman" w:cs="Times New Roman" w:eastAsia="Times New Roman" w:hAnsi="Times New Roman"/>
          <w:sz w:val="18"/>
          <w:szCs w:val="18"/>
          <w:i w:val="1"/>
          <w:iCs w:val="1"/>
          <w:color w:val="auto"/>
        </w:rPr>
      </w:pPr>
    </w:p>
    <w:p>
      <w:pPr>
        <w:ind w:left="1060" w:right="680" w:hanging="323"/>
        <w:spacing w:after="0" w:line="250"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8" w:lineRule="exact"/>
        <w:rPr>
          <w:rFonts w:ascii="Times New Roman" w:cs="Times New Roman" w:eastAsia="Times New Roman" w:hAnsi="Times New Roman"/>
          <w:sz w:val="18"/>
          <w:szCs w:val="18"/>
          <w:i w:val="1"/>
          <w:iCs w:val="1"/>
          <w:color w:val="auto"/>
        </w:rPr>
      </w:pPr>
    </w:p>
    <w:p>
      <w:pPr>
        <w:ind w:left="1060" w:hanging="323"/>
        <w:spacing w:after="0"/>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8" w:lineRule="exact"/>
        <w:rPr>
          <w:rFonts w:ascii="Times New Roman" w:cs="Times New Roman" w:eastAsia="Times New Roman" w:hAnsi="Times New Roman"/>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920" w:hanging="323"/>
        <w:spacing w:after="0" w:line="264" w:lineRule="auto"/>
        <w:tabs>
          <w:tab w:leader="none" w:pos="1060" w:val="left"/>
        </w:tabs>
        <w:numPr>
          <w:ilvl w:val="0"/>
          <w:numId w:val="3"/>
        </w:numPr>
        <w:rPr>
          <w:rFonts w:ascii="Times New Roman" w:cs="Times New Roman" w:eastAsia="Times New Roman" w:hAnsi="Times New Roman"/>
          <w:sz w:val="18"/>
          <w:szCs w:val="18"/>
          <w:i w:val="1"/>
          <w:iCs w:val="1"/>
          <w:color w:val="auto"/>
        </w:rPr>
      </w:pPr>
      <w:r>
        <w:rPr>
          <w:rFonts w:ascii="Arial" w:cs="Arial" w:eastAsia="Arial" w:hAnsi="Arial"/>
          <w:sz w:val="18"/>
          <w:szCs w:val="18"/>
          <w:i w:val="1"/>
          <w:iCs w:val="1"/>
          <w:color w:val="231F20"/>
        </w:rPr>
        <w:t xml:space="preserve">other factors discussed in this Quarterly Report on Form 10-Q in the sections titled </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 xml:space="preserve">Risk Factors” and </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Management</w:t>
      </w:r>
      <w:r>
        <w:rPr>
          <w:rFonts w:ascii="Times New Roman" w:cs="Times New Roman" w:eastAsia="Times New Roman" w:hAnsi="Times New Roman"/>
          <w:sz w:val="18"/>
          <w:szCs w:val="18"/>
          <w:i w:val="1"/>
          <w:iCs w:val="1"/>
          <w:color w:val="231F20"/>
        </w:rPr>
        <w:t>'</w:t>
      </w:r>
      <w:r>
        <w:rPr>
          <w:rFonts w:ascii="Arial" w:cs="Arial" w:eastAsia="Arial" w:hAnsi="Arial"/>
          <w:sz w:val="18"/>
          <w:szCs w:val="18"/>
          <w:i w:val="1"/>
          <w:iCs w:val="1"/>
          <w:color w:val="231F20"/>
        </w:rPr>
        <w:t>s Discussion and Analysis of Financial Condition and Results of Operations.</w:t>
      </w:r>
      <w:r>
        <w:rPr>
          <w:rFonts w:ascii="Times New Roman" w:cs="Times New Roman" w:eastAsia="Times New Roman" w:hAnsi="Times New Roman"/>
          <w:sz w:val="18"/>
          <w:szCs w:val="18"/>
          <w:i w:val="1"/>
          <w:iCs w:val="1"/>
          <w:color w:val="231F20"/>
        </w:rPr>
        <w:t>”</w:t>
      </w:r>
    </w:p>
    <w:p>
      <w:pPr>
        <w:spacing w:after="0" w:line="17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8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18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 Vulnerability Management (VM), in 2000. As this solution gained acceptance, we introduced new solutions to help customers manage increasing IT security and compliance requirements, including PCI Compliance, Policy Compliance, Web Application Scanning, Malware Detection Service and Qualys SECURE Seal. In 2012, we introduced our virtualized private cloud platform as an additional deployment option of our solutions for customers and partners. In 2014, we released Continuous Monitoring (CM) for internet-facing systems, which allows customers to continuously monitor their mission-critical assets and to be alerted to security vulnerabilities or misconfigurations that may make them more susceptible to a cyber-attack and in 2015, we introduced our Cloud Agent Platform (CAP), which provides customers </w:t>
      </w:r>
      <w:r>
        <w:rPr>
          <w:rFonts w:ascii="Arial" w:cs="Arial" w:eastAsia="Arial" w:hAnsi="Arial"/>
          <w:sz w:val="18"/>
          <w:szCs w:val="18"/>
          <w:color w:val="000000"/>
        </w:rPr>
        <w:t>with the ability to secure IT assets on a continuous basis regardless of where they</w:t>
      </w:r>
      <w:r>
        <w:rPr>
          <w:rFonts w:ascii="Arial" w:cs="Arial" w:eastAsia="Arial" w:hAnsi="Arial"/>
          <w:sz w:val="18"/>
          <w:szCs w:val="18"/>
          <w:color w:val="231F20"/>
        </w:rPr>
        <w:t xml:space="preserve"> </w:t>
      </w:r>
      <w:r>
        <w:rPr>
          <w:rFonts w:ascii="Arial" w:cs="Arial" w:eastAsia="Arial" w:hAnsi="Arial"/>
          <w:sz w:val="18"/>
          <w:szCs w:val="18"/>
          <w:color w:val="000000"/>
        </w:rPr>
        <w:t>reside, inside the enterprise, in the cloud or mobile endpoints. Additional offerings, such as CM and CAP, add functionality to our core VM and POL services and expand the scope of our capabilities. We expect the sales of multiple, fully-integrated cloud based security offerings on our platform will contribute to the continuing trend of revenue growth.</w:t>
      </w:r>
    </w:p>
    <w:p>
      <w:pPr>
        <w:spacing w:after="0" w:line="183" w:lineRule="exact"/>
        <w:rPr>
          <w:sz w:val="20"/>
          <w:szCs w:val="20"/>
          <w:color w:val="auto"/>
        </w:rPr>
      </w:pPr>
    </w:p>
    <w:p>
      <w:pPr>
        <w:ind w:right="180" w:firstLine="405"/>
        <w:spacing w:after="0" w:line="260"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typically invoice our customers for the entire subscription amount at the start of the subscription term, and the invoiced amounts are treated as deferred revenues and recognized ratably over the term of each subscription. We continue to experience significant revenue growth from existing customers as they renew and purchase additional subscriptions.</w:t>
      </w:r>
    </w:p>
    <w:p>
      <w:pPr>
        <w:spacing w:after="0" w:line="135" w:lineRule="exact"/>
        <w:rPr>
          <w:sz w:val="20"/>
          <w:szCs w:val="20"/>
          <w:color w:val="auto"/>
        </w:rPr>
      </w:pPr>
    </w:p>
    <w:p>
      <w:pPr>
        <w:jc w:val="both"/>
        <w:ind w:right="120" w:firstLine="405"/>
        <w:spacing w:after="0" w:line="258" w:lineRule="auto"/>
        <w:rPr>
          <w:sz w:val="20"/>
          <w:szCs w:val="20"/>
          <w:color w:val="auto"/>
        </w:rPr>
      </w:pPr>
      <w:r>
        <w:rPr>
          <w:rFonts w:ascii="Arial" w:cs="Arial" w:eastAsia="Arial" w:hAnsi="Arial"/>
          <w:sz w:val="18"/>
          <w:szCs w:val="18"/>
          <w:color w:val="231F20"/>
        </w:rPr>
        <w:t>We market and sell our solutions to enterprises, government entities and to small and medium-sized businesses across a broad range of industries, including education, financial services, government, healthcare, insurance, manufacturing, media, retail, technology and utilities. In the six month period ended June 30, 2016, approximately 71%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37" w:lineRule="exact"/>
        <w:rPr>
          <w:sz w:val="20"/>
          <w:szCs w:val="20"/>
          <w:color w:val="auto"/>
        </w:rPr>
      </w:pPr>
    </w:p>
    <w:p>
      <w:pPr>
        <w:ind w:right="420" w:firstLine="405"/>
        <w:spacing w:after="0" w:line="292" w:lineRule="auto"/>
        <w:rPr>
          <w:sz w:val="20"/>
          <w:szCs w:val="20"/>
          <w:color w:val="auto"/>
        </w:rPr>
      </w:pPr>
      <w:r>
        <w:rPr>
          <w:rFonts w:ascii="Arial" w:cs="Arial" w:eastAsia="Arial" w:hAnsi="Arial"/>
          <w:sz w:val="18"/>
          <w:szCs w:val="18"/>
          <w:color w:val="231F20"/>
        </w:rPr>
        <w:t xml:space="preserve">Our revenues increased to $94.7 million in the six months ended June 30, 2016 from </w:t>
      </w:r>
      <w:r>
        <w:rPr>
          <w:rFonts w:ascii="Arial" w:cs="Arial" w:eastAsia="Arial" w:hAnsi="Arial"/>
          <w:sz w:val="18"/>
          <w:szCs w:val="18"/>
          <w:color w:val="000000"/>
        </w:rPr>
        <w:t>$77.4 million</w:t>
      </w:r>
      <w:r>
        <w:rPr>
          <w:rFonts w:ascii="Arial" w:cs="Arial" w:eastAsia="Arial" w:hAnsi="Arial"/>
          <w:sz w:val="18"/>
          <w:szCs w:val="18"/>
          <w:color w:val="231F20"/>
        </w:rPr>
        <w:t xml:space="preserve"> for the comparable period in 2015, representing an increase of $17.3 million or 22%.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7" w:lineRule="exact"/>
        <w:rPr>
          <w:sz w:val="20"/>
          <w:szCs w:val="20"/>
          <w:color w:val="auto"/>
        </w:rPr>
      </w:pPr>
    </w:p>
    <w:p>
      <w:pPr>
        <w:ind w:right="140" w:firstLine="405"/>
        <w:spacing w:after="0" w:line="271"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9"/>
                <w:szCs w:val="19"/>
                <w:color w:val="auto"/>
              </w:rPr>
            </w:pPr>
          </w:p>
        </w:tc>
        <w:tc>
          <w:tcPr>
            <w:tcW w:w="282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4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9"/>
              </w:rPr>
              <w:t>June 30,</w:t>
            </w:r>
          </w:p>
        </w:tc>
        <w:tc>
          <w:tcPr>
            <w:tcW w:w="340" w:type="dxa"/>
            <w:vAlign w:val="bottom"/>
          </w:tcPr>
          <w:p>
            <w:pPr>
              <w:spacing w:after="0"/>
              <w:rPr>
                <w:sz w:val="23"/>
                <w:szCs w:val="23"/>
                <w:color w:val="auto"/>
              </w:rPr>
            </w:pPr>
          </w:p>
        </w:tc>
        <w:tc>
          <w:tcPr>
            <w:tcW w:w="172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1100" w:type="dxa"/>
            <w:vAlign w:val="bottom"/>
          </w:tcPr>
          <w:p>
            <w:pPr>
              <w:spacing w:after="0"/>
              <w:rPr>
                <w:sz w:val="23"/>
                <w:szCs w:val="23"/>
                <w:color w:val="auto"/>
              </w:rPr>
            </w:pPr>
          </w:p>
        </w:tc>
      </w:tr>
      <w:tr>
        <w:trPr>
          <w:trHeight w:val="264"/>
        </w:trPr>
        <w:tc>
          <w:tcPr>
            <w:tcW w:w="49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250"/>
        </w:trPr>
        <w:tc>
          <w:tcPr>
            <w:tcW w:w="4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5"/>
          </w:tcPr>
          <w:p>
            <w:pPr>
              <w:ind w:left="60"/>
              <w:spacing w:after="0"/>
              <w:rPr>
                <w:sz w:val="20"/>
                <w:szCs w:val="20"/>
                <w:color w:val="auto"/>
              </w:rPr>
            </w:pPr>
            <w:r>
              <w:rPr>
                <w:rFonts w:ascii="Arial" w:cs="Arial" w:eastAsia="Arial" w:hAnsi="Arial"/>
                <w:sz w:val="16"/>
                <w:szCs w:val="16"/>
                <w:b w:val="1"/>
                <w:bCs w:val="1"/>
                <w:color w:val="auto"/>
              </w:rPr>
              <w:t>(in thousands, except percentages)</w:t>
            </w: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15,744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13,098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31,872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25,075</w:t>
            </w: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8"/>
        </w:trPr>
        <w:tc>
          <w:tcPr>
            <w:tcW w:w="49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Six Months Ended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p>
      <w:pPr>
        <w:ind w:left="8920"/>
        <w:spacing w:after="0"/>
        <w:tabs>
          <w:tab w:leader="none" w:pos="104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0"/>
        <w:spacing w:after="0"/>
        <w:tabs>
          <w:tab w:leader="none" w:pos="8340" w:val="left"/>
          <w:tab w:leader="none" w:pos="9220" w:val="left"/>
          <w:tab w:leader="none" w:pos="9960" w:val="left"/>
          <w:tab w:leader="none" w:pos="10800" w:val="left"/>
        </w:tabs>
        <w:rPr>
          <w:sz w:val="20"/>
          <w:szCs w:val="20"/>
          <w:color w:val="auto"/>
        </w:rPr>
      </w:pPr>
      <w:r>
        <w:rPr>
          <w:rFonts w:ascii="Arial" w:cs="Arial" w:eastAsia="Arial" w:hAnsi="Arial"/>
          <w:sz w:val="16"/>
          <w:szCs w:val="16"/>
          <w:color w:val="auto"/>
        </w:rPr>
        <w:t>Free cash flow</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25,495</w:t>
        <w:tab/>
        <w:t>$</w:t>
      </w:r>
      <w:r>
        <w:rPr>
          <w:sz w:val="20"/>
          <w:szCs w:val="20"/>
          <w:color w:val="auto"/>
        </w:rPr>
        <w:tab/>
      </w:r>
      <w:r>
        <w:rPr>
          <w:rFonts w:ascii="Arial" w:cs="Arial" w:eastAsia="Arial" w:hAnsi="Arial"/>
          <w:sz w:val="16"/>
          <w:szCs w:val="16"/>
          <w:color w:val="auto"/>
        </w:rPr>
        <w:t>15,044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48895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00"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51"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assets,(5) stock-based compensation and (6) other non-recurring adjustments.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180" w:firstLine="405"/>
        <w:spacing w:after="0" w:line="292" w:lineRule="auto"/>
        <w:rPr>
          <w:sz w:val="20"/>
          <w:szCs w:val="20"/>
          <w:color w:val="auto"/>
        </w:rPr>
      </w:pPr>
      <w:r>
        <w:rPr>
          <w:rFonts w:ascii="Arial" w:cs="Arial" w:eastAsia="Arial" w:hAnsi="Arial"/>
          <w:sz w:val="18"/>
          <w:szCs w:val="18"/>
          <w:color w:val="auto"/>
        </w:rPr>
        <w:t>The following unaudited table presents the reconciliation of net income to Adjusted EBITDA for the three and six months ended June 30, 2016 and 2015:</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9"/>
                <w:szCs w:val="19"/>
                <w:color w:val="auto"/>
              </w:rPr>
            </w:pPr>
          </w:p>
        </w:tc>
        <w:tc>
          <w:tcPr>
            <w:tcW w:w="25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23"/>
                <w:szCs w:val="23"/>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50"/>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4"/>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6,318</w:t>
            </w:r>
          </w:p>
        </w:tc>
      </w:tr>
      <w:tr>
        <w:trPr>
          <w:trHeight w:val="262"/>
        </w:trPr>
        <w:tc>
          <w:tcPr>
            <w:tcW w:w="51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8"/>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2,214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3,965</w:t>
            </w:r>
          </w:p>
        </w:tc>
      </w:tr>
      <w:tr>
        <w:trPr>
          <w:trHeight w:val="262"/>
        </w:trPr>
        <w:tc>
          <w:tcPr>
            <w:tcW w:w="5140" w:type="dxa"/>
            <w:vAlign w:val="bottom"/>
          </w:tcPr>
          <w:p>
            <w:pPr>
              <w:ind w:left="2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3,885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3,306</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7,609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6,390</w:t>
            </w:r>
          </w:p>
        </w:tc>
      </w:tr>
      <w:tr>
        <w:trPr>
          <w:trHeight w:val="278"/>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62"/>
        </w:trPr>
        <w:tc>
          <w:tcPr>
            <w:tcW w:w="51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4,382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8,257</w:t>
            </w:r>
          </w:p>
        </w:tc>
      </w:tr>
      <w:tr>
        <w:trPr>
          <w:trHeight w:val="271"/>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One-time tax related expense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140" w:type="dxa"/>
            <w:vAlign w:val="bottom"/>
          </w:tcPr>
          <w:p>
            <w:pPr>
              <w:ind w:left="2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15,744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13,098</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31,872</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25,075</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firstLine="170"/>
        <w:spacing w:after="0" w:line="292" w:lineRule="auto"/>
        <w:tabs>
          <w:tab w:leader="none" w:pos="297" w:val="left"/>
        </w:tabs>
        <w:numPr>
          <w:ilvl w:val="0"/>
          <w:numId w:val="4"/>
        </w:numPr>
        <w:rPr>
          <w:rFonts w:ascii="Arial" w:cs="Arial" w:eastAsia="Arial" w:hAnsi="Arial"/>
          <w:sz w:val="15"/>
          <w:szCs w:val="15"/>
          <w:i w:val="1"/>
          <w:iCs w:val="1"/>
          <w:color w:val="231F20"/>
          <w:vertAlign w:val="superscript"/>
        </w:rPr>
      </w:pPr>
      <w:r>
        <w:rPr>
          <w:rFonts w:ascii="Arial" w:cs="Arial" w:eastAsia="Arial" w:hAnsi="Arial"/>
          <w:sz w:val="12"/>
          <w:szCs w:val="12"/>
          <w:i w:val="1"/>
          <w:iCs w:val="1"/>
          <w:color w:val="231F20"/>
        </w:rPr>
        <w:t>Adjusted EBITDA for the three and six months ended June 30, 2016 excludes approximately $0.7 million of a non-recurring expense related to the remittance of payroll taxes from fiscal year 2013 through May 2016. During this same period, we have not excluded any amounts related to other non-recurring items from Adjusted EBITDA because we have considered such amounts to be immaterial in any given quarter during such period</w:t>
      </w:r>
      <w:r>
        <w:rPr>
          <w:rFonts w:ascii="Times New Roman" w:cs="Times New Roman" w:eastAsia="Times New Roman" w:hAnsi="Times New Roman"/>
          <w:sz w:val="12"/>
          <w:szCs w:val="12"/>
          <w:i w:val="1"/>
          <w:iCs w:val="1"/>
          <w:color w:val="231F20"/>
        </w:rPr>
        <w: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25"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178"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3080" w:type="dxa"/>
            <w:vAlign w:val="bottom"/>
            <w:gridSpan w:val="5"/>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83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2015</w:t>
            </w:r>
          </w:p>
        </w:tc>
      </w:tr>
      <w:tr>
        <w:trPr>
          <w:trHeight w:val="250"/>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4"/>
                <w:szCs w:val="14"/>
                <w:color w:val="auto"/>
                <w:w w:val="97"/>
              </w:rPr>
              <w:t>34,461</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25,550</w:t>
            </w:r>
          </w:p>
        </w:tc>
      </w:tr>
      <w:tr>
        <w:trPr>
          <w:trHeight w:val="266"/>
        </w:trPr>
        <w:tc>
          <w:tcPr>
            <w:tcW w:w="8340" w:type="dxa"/>
            <w:vAlign w:val="bottom"/>
          </w:tcPr>
          <w:p>
            <w:pPr>
              <w:ind w:left="40"/>
              <w:spacing w:after="0"/>
              <w:rPr>
                <w:sz w:val="20"/>
                <w:szCs w:val="20"/>
                <w:color w:val="auto"/>
              </w:rPr>
            </w:pPr>
            <w:r>
              <w:rPr>
                <w:rFonts w:ascii="Arial" w:cs="Arial" w:eastAsia="Arial" w:hAnsi="Arial"/>
                <w:sz w:val="14"/>
                <w:szCs w:val="14"/>
                <w:color w:val="auto"/>
              </w:rPr>
              <w:t>Less:</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rPr>
              <w:t>(8,966)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(10,407)</w:t>
            </w:r>
          </w:p>
        </w:tc>
      </w:tr>
      <w:tr>
        <w:trPr>
          <w:trHeight w:val="266"/>
        </w:trPr>
        <w:tc>
          <w:tcPr>
            <w:tcW w:w="8340" w:type="dxa"/>
            <w:vAlign w:val="bottom"/>
          </w:tcPr>
          <w:p>
            <w:pPr>
              <w:ind w:left="180"/>
              <w:spacing w:after="0"/>
              <w:rPr>
                <w:sz w:val="20"/>
                <w:szCs w:val="20"/>
                <w:color w:val="auto"/>
              </w:rPr>
            </w:pPr>
            <w:r>
              <w:rPr>
                <w:rFonts w:ascii="Arial" w:cs="Arial" w:eastAsia="Arial" w:hAnsi="Arial"/>
                <w:sz w:val="14"/>
                <w:szCs w:val="14"/>
                <w:color w:val="auto"/>
              </w:rPr>
              <w:t>Capitalized software development costs</w:t>
            </w:r>
          </w:p>
        </w:tc>
        <w:tc>
          <w:tcPr>
            <w:tcW w:w="94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41"/>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Free cash flow</w:t>
            </w:r>
          </w:p>
        </w:tc>
        <w:tc>
          <w:tcPr>
            <w:tcW w:w="94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4"/>
                <w:szCs w:val="14"/>
                <w:color w:val="auto"/>
                <w:w w:val="97"/>
              </w:rPr>
              <w:t>25,495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15,044</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60" w:lineRule="exact"/>
        <w:rPr>
          <w:sz w:val="20"/>
          <w:szCs w:val="20"/>
          <w:color w:val="auto"/>
        </w:rPr>
      </w:pPr>
    </w:p>
    <w:p>
      <w:pPr>
        <w:ind w:right="140" w:firstLine="405"/>
        <w:spacing w:after="0" w:line="29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4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67" w:lineRule="exact"/>
        <w:rPr>
          <w:sz w:val="20"/>
          <w:szCs w:val="20"/>
          <w:color w:val="auto"/>
        </w:rPr>
      </w:pPr>
    </w:p>
    <w:p>
      <w:pPr>
        <w:ind w:right="60" w:firstLine="405"/>
        <w:spacing w:after="0" w:line="323"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5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115"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which will increase research and development expenses in absolute dollars.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11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 and maintenance costs for sales-related software,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23" w:lineRule="exact"/>
        <w:rPr>
          <w:sz w:val="20"/>
          <w:szCs w:val="20"/>
          <w:color w:val="auto"/>
        </w:rPr>
      </w:pPr>
    </w:p>
    <w:p>
      <w:pPr>
        <w:ind w:right="460" w:firstLine="486"/>
        <w:spacing w:after="0" w:line="260"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and overhead allocations. We expect that general and administrative expenses will increase in absolute dollars, as we continue to add personnel and incur professional services to support our growth and compliance with legal requirements.</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17" w:lineRule="exact"/>
        <w:rPr>
          <w:sz w:val="20"/>
          <w:szCs w:val="20"/>
          <w:color w:val="auto"/>
        </w:rPr>
      </w:pPr>
    </w:p>
    <w:p>
      <w:pPr>
        <w:ind w:right="360" w:firstLine="486"/>
        <w:spacing w:after="0" w:line="271"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and losses on disposal of property and equipment.</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17"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67" w:lineRule="exact"/>
        <w:rPr>
          <w:sz w:val="20"/>
          <w:szCs w:val="20"/>
          <w:color w:val="auto"/>
        </w:rPr>
      </w:pPr>
    </w:p>
    <w:p>
      <w:pPr>
        <w:ind w:right="100" w:firstLine="486"/>
        <w:spacing w:after="0" w:line="260"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8"/>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6"/>
          </w:tcPr>
          <w:p>
            <w:pPr>
              <w:jc w:val="right"/>
              <w:ind w:right="719"/>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80" w:type="dxa"/>
            <w:vAlign w:val="bottom"/>
          </w:tcPr>
          <w:p>
            <w:pPr>
              <w:jc w:val="right"/>
              <w:ind w:right="179"/>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31F20"/>
              </w:rPr>
              <w:t>48,466</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39,877</w:t>
            </w:r>
          </w:p>
        </w:tc>
        <w:tc>
          <w:tcPr>
            <w:tcW w:w="12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231F20"/>
              </w:rPr>
              <w:t>$</w:t>
            </w: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94,714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6"/>
                <w:szCs w:val="16"/>
                <w:color w:val="231F20"/>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231F20"/>
              </w:rPr>
              <w:t>77,370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8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10,092</w:t>
            </w:r>
          </w:p>
        </w:tc>
        <w:tc>
          <w:tcPr>
            <w:tcW w:w="120" w:type="dxa"/>
            <w:vAlign w:val="bottom"/>
            <w:tcBorders>
              <w:bottom w:val="single" w:sz="8" w:color="231F20"/>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280" w:type="dxa"/>
            <w:vAlign w:val="bottom"/>
            <w:tcBorders>
              <w:bottom w:val="single" w:sz="8" w:color="231F20"/>
            </w:tcBorders>
            <w:shd w:val="clear" w:color="auto" w:fill="CCEEFF"/>
          </w:tcPr>
          <w:p>
            <w:pPr>
              <w:spacing w:after="0"/>
              <w:rPr>
                <w:sz w:val="24"/>
                <w:szCs w:val="24"/>
                <w:color w:val="auto"/>
              </w:rPr>
            </w:pPr>
          </w:p>
        </w:tc>
        <w:tc>
          <w:tcPr>
            <w:tcW w:w="9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8,157</w:t>
            </w:r>
          </w:p>
        </w:tc>
        <w:tc>
          <w:tcPr>
            <w:tcW w:w="120" w:type="dxa"/>
            <w:vAlign w:val="bottom"/>
            <w:shd w:val="clear" w:color="auto" w:fill="CCEEFF"/>
          </w:tcPr>
          <w:p>
            <w:pPr>
              <w:spacing w:after="0"/>
              <w:rPr>
                <w:sz w:val="24"/>
                <w:szCs w:val="24"/>
                <w:color w:val="auto"/>
              </w:rPr>
            </w:pPr>
          </w:p>
        </w:tc>
        <w:tc>
          <w:tcPr>
            <w:tcW w:w="6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36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19,508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380" w:type="dxa"/>
            <w:vAlign w:val="bottom"/>
            <w:tcBorders>
              <w:bottom w:val="single" w:sz="8" w:color="231F20"/>
            </w:tcBorders>
            <w:shd w:val="clear" w:color="auto" w:fill="CCEEFF"/>
          </w:tcPr>
          <w:p>
            <w:pPr>
              <w:spacing w:after="0"/>
              <w:rPr>
                <w:sz w:val="24"/>
                <w:szCs w:val="24"/>
                <w:color w:val="auto"/>
              </w:rPr>
            </w:pPr>
          </w:p>
        </w:tc>
        <w:tc>
          <w:tcPr>
            <w:tcW w:w="10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16,121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31,720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75,206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231F20"/>
              </w:rPr>
              <w:t>9,143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231F20"/>
              </w:rPr>
              <w:t>7,205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16,977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231F20"/>
              </w:rPr>
              <w:t>14,355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14,451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12,776</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28,384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24,219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8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9,068</w:t>
            </w:r>
          </w:p>
        </w:tc>
        <w:tc>
          <w:tcPr>
            <w:tcW w:w="120" w:type="dxa"/>
            <w:vAlign w:val="bottom"/>
            <w:tcBorders>
              <w:bottom w:val="single" w:sz="8" w:color="231F20"/>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6,427</w:t>
            </w: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16,536</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12,443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1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32,662</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26,408</w:t>
            </w:r>
          </w:p>
        </w:tc>
        <w:tc>
          <w:tcPr>
            <w:tcW w:w="1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61,897</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5,440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2,214</w:t>
            </w:r>
          </w:p>
        </w:tc>
        <w:tc>
          <w:tcPr>
            <w:tcW w:w="12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28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2,124</w:t>
            </w:r>
          </w:p>
        </w:tc>
        <w:tc>
          <w:tcPr>
            <w:tcW w:w="120" w:type="dxa"/>
            <w:vAlign w:val="bottom"/>
            <w:shd w:val="clear" w:color="auto" w:fill="CCEEFF"/>
          </w:tcPr>
          <w:p>
            <w:pPr>
              <w:spacing w:after="0"/>
              <w:rPr>
                <w:sz w:val="23"/>
                <w:szCs w:val="23"/>
                <w:color w:val="auto"/>
              </w:rPr>
            </w:pPr>
          </w:p>
        </w:tc>
        <w:tc>
          <w:tcPr>
            <w:tcW w:w="6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36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5,196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38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3,965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3,538</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gridSpan w:val="2"/>
          </w:tcPr>
          <w:p>
            <w:pPr>
              <w:jc w:val="center"/>
              <w:ind w:right="3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9"/>
                <w:szCs w:val="9"/>
                <w:color w:val="231F20"/>
              </w:rPr>
              <w:t>____________________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1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40" w:type="dxa"/>
            <w:vAlign w:val="bottom"/>
            <w:gridSpan w:val="2"/>
          </w:tcPr>
          <w:p>
            <w:pPr>
              <w:spacing w:after="0"/>
              <w:rPr>
                <w:sz w:val="20"/>
                <w:szCs w:val="20"/>
                <w:color w:val="auto"/>
              </w:rPr>
            </w:pPr>
            <w:r>
              <w:rPr>
                <w:rFonts w:ascii="Arial" w:cs="Arial" w:eastAsia="Arial" w:hAnsi="Arial"/>
                <w:sz w:val="14"/>
                <w:szCs w:val="14"/>
                <w:color w:val="231F20"/>
              </w:rPr>
              <w:t>(1) Includes stock-based compensation as follows: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8"/>
        </w:trPr>
        <w:tc>
          <w:tcPr>
            <w:tcW w:w="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20" w:type="dxa"/>
            <w:vAlign w:val="bottom"/>
            <w:gridSpan w:val="6"/>
          </w:tcPr>
          <w:p>
            <w:pPr>
              <w:jc w:val="center"/>
              <w:ind w:right="219"/>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6"/>
              </w:rPr>
              <w:t>June 30,</w:t>
            </w:r>
          </w:p>
        </w:tc>
        <w:tc>
          <w:tcPr>
            <w:tcW w:w="9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5"/>
          </w:tcPr>
          <w:p>
            <w:pPr>
              <w:jc w:val="center"/>
              <w:ind w:left="61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20" w:type="dxa"/>
            <w:vAlign w:val="bottom"/>
            <w:gridSpan w:val="8"/>
          </w:tcPr>
          <w:p>
            <w:pPr>
              <w:ind w:left="60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60" w:type="dxa"/>
            <w:vAlign w:val="bottom"/>
          </w:tcPr>
          <w:p>
            <w:pPr>
              <w:spacing w:after="0"/>
              <w:rPr>
                <w:sz w:val="23"/>
                <w:szCs w:val="23"/>
                <w:color w:val="auto"/>
              </w:rPr>
            </w:pPr>
          </w:p>
        </w:tc>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7"/>
              </w:rPr>
              <w:t>423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802</w:t>
            </w:r>
          </w:p>
        </w:tc>
        <w:tc>
          <w:tcPr>
            <w:tcW w:w="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60" w:type="dxa"/>
            <w:vAlign w:val="bottom"/>
          </w:tcPr>
          <w:p>
            <w:pPr>
              <w:spacing w:after="0"/>
              <w:rPr>
                <w:sz w:val="22"/>
                <w:szCs w:val="22"/>
                <w:color w:val="auto"/>
              </w:rPr>
            </w:pPr>
          </w:p>
        </w:tc>
        <w:tc>
          <w:tcPr>
            <w:tcW w:w="44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1,138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2,788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60" w:type="dxa"/>
            <w:vAlign w:val="bottom"/>
          </w:tcPr>
          <w:p>
            <w:pPr>
              <w:spacing w:after="0"/>
              <w:rPr>
                <w:sz w:val="24"/>
                <w:szCs w:val="24"/>
                <w:color w:val="auto"/>
              </w:rPr>
            </w:pPr>
          </w:p>
        </w:tc>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1,389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3,791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stock-based compensation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5,322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4,382</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26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502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w w:val="99"/>
              </w:rPr>
              <w:t>June 30,</w:t>
            </w: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Borders>
              <w:bottom w:val="single" w:sz="8" w:color="auto"/>
            </w:tcBorders>
            <w:gridSpan w:val="3"/>
          </w:tcPr>
          <w:p>
            <w:pPr>
              <w:jc w:val="center"/>
              <w:ind w:left="103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23"/>
                <w:szCs w:val="23"/>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r>
      <w:tr>
        <w:trPr>
          <w:trHeight w:val="254"/>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r>
      <w:tr>
        <w:trPr>
          <w:trHeight w:val="257"/>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r>
      <w:tr>
        <w:trPr>
          <w:trHeight w:val="262"/>
        </w:trPr>
        <w:tc>
          <w:tcPr>
            <w:tcW w:w="60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8"/>
        </w:trPr>
        <w:tc>
          <w:tcPr>
            <w:tcW w:w="60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62"/>
        </w:trPr>
        <w:tc>
          <w:tcPr>
            <w:tcW w:w="602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w:t>
            </w:r>
          </w:p>
        </w:tc>
      </w:tr>
      <w:tr>
        <w:trPr>
          <w:trHeight w:val="271"/>
        </w:trPr>
        <w:tc>
          <w:tcPr>
            <w:tcW w:w="5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r>
      <w:tr>
        <w:trPr>
          <w:trHeight w:val="250"/>
        </w:trPr>
        <w:tc>
          <w:tcPr>
            <w:tcW w:w="50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w:t>
            </w:r>
          </w:p>
        </w:tc>
      </w:tr>
      <w:tr>
        <w:trPr>
          <w:trHeight w:val="257"/>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r>
      <w:tr>
        <w:trPr>
          <w:trHeight w:val="257"/>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r>
      <w:tr>
        <w:trPr>
          <w:trHeight w:val="242"/>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June 30, 2016</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2015</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4"/>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23"/>
                <w:szCs w:val="23"/>
                <w:color w:val="auto"/>
              </w:rPr>
            </w:pPr>
          </w:p>
        </w:tc>
      </w:tr>
      <w:tr>
        <w:trPr>
          <w:trHeight w:val="264"/>
        </w:trPr>
        <w:tc>
          <w:tcPr>
            <w:tcW w:w="5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7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48,466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39,877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8,589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19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231F20"/>
        </w:rPr>
        <w:t xml:space="preserve">Revenues increased $8.6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due to new customer subscriptions entered into after June 30, 2015 and from an increase in the purchase of subscriptions from existing customers. Of the total increase of </w:t>
      </w:r>
      <w:r>
        <w:rPr>
          <w:rFonts w:ascii="Arial" w:cs="Arial" w:eastAsia="Arial" w:hAnsi="Arial"/>
          <w:sz w:val="18"/>
          <w:szCs w:val="18"/>
          <w:color w:val="000000"/>
        </w:rPr>
        <w:t>$8.6 million</w:t>
      </w:r>
      <w:r>
        <w:rPr>
          <w:rFonts w:ascii="Arial" w:cs="Arial" w:eastAsia="Arial" w:hAnsi="Arial"/>
          <w:sz w:val="18"/>
          <w:szCs w:val="18"/>
          <w:color w:val="231F20"/>
        </w:rPr>
        <w:t>, $6.1 million was from customers in the United States and the remaining $2.5 million was from customers in foreign countries. The growth in revenues reflects the continued demand for solutions.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2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6"/>
                <w:szCs w:val="16"/>
                <w:b w:val="1"/>
                <w:bCs w:val="1"/>
                <w:color w:val="auto"/>
                <w:w w:val="99"/>
              </w:rPr>
              <w:t>June 30,</w:t>
            </w:r>
          </w:p>
        </w:tc>
        <w:tc>
          <w:tcPr>
            <w:tcW w:w="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10,092</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8,157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1,935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62"/>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31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231F20"/>
        </w:rPr>
        <w:t xml:space="preserve">Cost of revenues increased $1.9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June 30, 2015,</w:t>
      </w:r>
      <w:r>
        <w:rPr>
          <w:rFonts w:ascii="Arial" w:cs="Arial" w:eastAsia="Arial" w:hAnsi="Arial"/>
          <w:sz w:val="18"/>
          <w:szCs w:val="18"/>
          <w:color w:val="231F20"/>
        </w:rPr>
        <w:t xml:space="preserve"> primarily due to increased personnel expenses of $0.6 million to support continued growth of our business; increased third-party software license and maintenance expense of $0.6 million; and a $0.5 million increase in depreciation expense related to additional computer hardware and software.</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258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4"/>
              </w:rPr>
              <w:t>9,143</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4"/>
              </w:rPr>
              <w:t>7,205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1,938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55"/>
        </w:trPr>
        <w:tc>
          <w:tcPr>
            <w:tcW w:w="504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63"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231F20"/>
        </w:rPr>
        <w:t xml:space="preserve">Research and development expenses increased $1.9 million for the three months ended June 30, 2016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2015</w:t>
      </w:r>
      <w:r>
        <w:rPr>
          <w:rFonts w:ascii="Arial" w:cs="Arial" w:eastAsia="Arial" w:hAnsi="Arial"/>
          <w:sz w:val="18"/>
          <w:szCs w:val="18"/>
          <w:color w:val="231F20"/>
        </w:rPr>
        <w:t>, primarily due to an increase in personnel expenses of $1.6 million, due to new employees and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and higher consulting costs of $0.1 million. We continue to significantly invest in and expand our research and development teams to continuously improve our platform and existing solutions, as well as develop new solutions and capabilities.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67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14,451</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12,776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1,675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ind w:right="260" w:firstLine="486"/>
        <w:spacing w:after="0" w:line="260" w:lineRule="auto"/>
        <w:rPr>
          <w:sz w:val="20"/>
          <w:szCs w:val="20"/>
          <w:color w:val="auto"/>
        </w:rPr>
      </w:pPr>
      <w:r>
        <w:rPr>
          <w:rFonts w:ascii="Arial" w:cs="Arial" w:eastAsia="Arial" w:hAnsi="Arial"/>
          <w:sz w:val="18"/>
          <w:szCs w:val="18"/>
          <w:color w:val="231F20"/>
        </w:rPr>
        <w:t xml:space="preserve">Sales and marketing expenses increased $1.7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June 30, 2015</w:t>
      </w:r>
      <w:r>
        <w:rPr>
          <w:rFonts w:ascii="Arial" w:cs="Arial" w:eastAsia="Arial" w:hAnsi="Arial"/>
          <w:sz w:val="18"/>
          <w:szCs w:val="18"/>
          <w:color w:val="231F20"/>
        </w:rPr>
        <w:t>, primarily due to increased personnel expenses of $1.8 million, principally due to new employees and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and increased software license and maintenance fees of $ 0.2 million, partially offset by a decrease in marketing expenses of $0.7 million, primarily due to significant trade show and program activities of a large security trade show that occurred in the first quarter of 2016 which previously occurred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25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6"/>
                <w:szCs w:val="16"/>
                <w:b w:val="1"/>
                <w:bCs w:val="1"/>
                <w:color w:val="auto"/>
                <w:w w:val="99"/>
              </w:rPr>
              <w:t>June 30,</w:t>
            </w:r>
          </w:p>
        </w:tc>
        <w:tc>
          <w:tcPr>
            <w:tcW w:w="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9,068</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6,427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2,641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231F20"/>
        </w:rPr>
        <w:t xml:space="preserve">General and administrative expenses increased $2.6 million for the </w:t>
      </w:r>
      <w:r>
        <w:rPr>
          <w:rFonts w:ascii="Arial" w:cs="Arial" w:eastAsia="Arial" w:hAnsi="Arial"/>
          <w:sz w:val="18"/>
          <w:szCs w:val="18"/>
          <w:color w:val="000000"/>
        </w:rPr>
        <w:t>three months ended June 30, 2016</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June 30, 2015</w:t>
      </w:r>
      <w:r>
        <w:rPr>
          <w:rFonts w:ascii="Arial" w:cs="Arial" w:eastAsia="Arial" w:hAnsi="Arial"/>
          <w:sz w:val="18"/>
          <w:szCs w:val="18"/>
          <w:color w:val="231F20"/>
        </w:rPr>
        <w:t>, primarily driven by increased personnel expenses of $0.8 million, principally due to additional employees and higher</w:t>
      </w:r>
      <w:r>
        <w:rPr>
          <w:rFonts w:ascii="Arial" w:cs="Arial" w:eastAsia="Arial" w:hAnsi="Arial"/>
          <w:sz w:val="18"/>
          <w:szCs w:val="18"/>
          <w:color w:val="000000"/>
        </w:rPr>
        <w:t xml:space="preserve"> </w:t>
      </w:r>
      <w:r>
        <w:rPr>
          <w:rFonts w:ascii="Arial" w:cs="Arial" w:eastAsia="Arial" w:hAnsi="Arial"/>
          <w:sz w:val="18"/>
          <w:szCs w:val="18"/>
          <w:color w:val="231F20"/>
        </w:rPr>
        <w:t>stock-based compensation; increased legal, accounting and consulting services of $0.8 million; and $0.7 million of a non-recurring expense in the current period, related to the remittance of payroll taxes from fiscal year 2013 through May 2016.</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66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6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center"/>
              <w:ind w:right="459"/>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60" w:type="dxa"/>
            <w:vAlign w:val="bottom"/>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7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w:t>
            </w:r>
          </w:p>
        </w:tc>
        <w:tc>
          <w:tcPr>
            <w:tcW w:w="108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(88)</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5"/>
        </w:trPr>
        <w:tc>
          <w:tcPr>
            <w:tcW w:w="50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10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231F20"/>
        </w:rPr>
        <w:t>Total other income (expense), net, decreased by $0.1 million for the three months ended June 30, 2016 compared to the three months ended June 30, 2015, primarily due to an increase in foreign exchange losses, partially offset by increased investment income.</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25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6"/>
                <w:szCs w:val="16"/>
                <w:b w:val="1"/>
                <w:bCs w:val="1"/>
                <w:color w:val="auto"/>
                <w:w w:val="99"/>
              </w:rPr>
              <w:t>June 30,</w:t>
            </w:r>
          </w:p>
        </w:tc>
        <w:tc>
          <w:tcPr>
            <w:tcW w:w="5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9"/>
              </w:rPr>
              <w:t>2,214</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9"/>
              </w:rPr>
              <w:t>2,124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90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38.5%</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36" w:lineRule="exact"/>
        <w:rPr>
          <w:sz w:val="20"/>
          <w:szCs w:val="20"/>
          <w:color w:val="auto"/>
        </w:rPr>
      </w:pPr>
    </w:p>
    <w:p>
      <w:pPr>
        <w:jc w:val="both"/>
        <w:ind w:right="40" w:firstLine="486"/>
        <w:spacing w:after="0" w:line="292" w:lineRule="auto"/>
        <w:rPr>
          <w:sz w:val="20"/>
          <w:szCs w:val="20"/>
          <w:color w:val="auto"/>
        </w:rPr>
      </w:pPr>
      <w:r>
        <w:rPr>
          <w:rFonts w:ascii="Arial" w:cs="Arial" w:eastAsia="Arial" w:hAnsi="Arial"/>
          <w:sz w:val="18"/>
          <w:szCs w:val="18"/>
          <w:color w:val="231F20"/>
        </w:rPr>
        <w:t>The provision for income taxes increased by $0.1 million for the three months ended June 30, 2016 compared to the three months ended June 30, 2015, primarily due to higher pre-tax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Six Months Ended </w:t>
      </w:r>
      <w:r>
        <w:rPr>
          <w:rFonts w:ascii="Arial" w:cs="Arial" w:eastAsia="Arial" w:hAnsi="Arial"/>
          <w:sz w:val="18"/>
          <w:szCs w:val="18"/>
          <w:b w:val="1"/>
          <w:bCs w:val="1"/>
          <w:color w:val="000000"/>
        </w:rPr>
        <w:t>June 30, 2016</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2015</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4"/>
        </w:trPr>
        <w:tc>
          <w:tcPr>
            <w:tcW w:w="5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23"/>
                <w:szCs w:val="23"/>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23"/>
                <w:szCs w:val="23"/>
                <w:color w:val="auto"/>
              </w:rPr>
            </w:pPr>
          </w:p>
        </w:tc>
      </w:tr>
      <w:tr>
        <w:trPr>
          <w:trHeight w:val="264"/>
        </w:trPr>
        <w:tc>
          <w:tcPr>
            <w:tcW w:w="5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60" w:type="dxa"/>
            <w:vAlign w:val="bottom"/>
          </w:tcPr>
          <w:p>
            <w:pPr>
              <w:spacing w:after="0"/>
              <w:rPr>
                <w:sz w:val="21"/>
                <w:szCs w:val="21"/>
                <w:color w:val="auto"/>
              </w:rPr>
            </w:pPr>
          </w:p>
        </w:tc>
      </w:tr>
      <w:tr>
        <w:trPr>
          <w:trHeight w:val="274"/>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231F20"/>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94,714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77,370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17,344</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19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231F20"/>
        </w:rPr>
        <w:t xml:space="preserve">Revenues increased $17.3 million for the six </w:t>
      </w:r>
      <w:r>
        <w:rPr>
          <w:rFonts w:ascii="Arial" w:cs="Arial" w:eastAsia="Arial" w:hAnsi="Arial"/>
          <w:sz w:val="18"/>
          <w:szCs w:val="18"/>
          <w:color w:val="000000"/>
        </w:rPr>
        <w:t>months ended June 30, 2016</w:t>
      </w:r>
      <w:r>
        <w:rPr>
          <w:rFonts w:ascii="Arial" w:cs="Arial" w:eastAsia="Arial" w:hAnsi="Arial"/>
          <w:sz w:val="18"/>
          <w:szCs w:val="18"/>
          <w:color w:val="231F20"/>
        </w:rPr>
        <w:t xml:space="preserve"> compared to the six </w:t>
      </w:r>
      <w:r>
        <w:rPr>
          <w:rFonts w:ascii="Arial" w:cs="Arial" w:eastAsia="Arial" w:hAnsi="Arial"/>
          <w:sz w:val="18"/>
          <w:szCs w:val="18"/>
          <w:color w:val="000000"/>
        </w:rPr>
        <w:t>months ended June 30, 2015</w:t>
      </w:r>
      <w:r>
        <w:rPr>
          <w:rFonts w:ascii="Arial" w:cs="Arial" w:eastAsia="Arial" w:hAnsi="Arial"/>
          <w:sz w:val="18"/>
          <w:szCs w:val="18"/>
          <w:color w:val="231F20"/>
        </w:rPr>
        <w:t>, due to new customer subscriptions entered into after June 30, 2015 and from an increase in the purchase of subscriptions from existing customers. Of the total increase of $ 17.3 million, $ 12.4 million was from customers in the United States and the remaining $4.9 million was from customers in foreign countries. The growth in revenues reflects the continued demand for solutions.</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0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19,508</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231F20"/>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16,121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3,387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2"/>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8"/>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13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231F20"/>
        </w:rPr>
        <w:t xml:space="preserve">Cost of revenues increased $3.4 million for the six </w:t>
      </w:r>
      <w:r>
        <w:rPr>
          <w:rFonts w:ascii="Arial" w:cs="Arial" w:eastAsia="Arial" w:hAnsi="Arial"/>
          <w:sz w:val="18"/>
          <w:szCs w:val="18"/>
          <w:color w:val="000000"/>
        </w:rPr>
        <w:t>months ended June 30, 2016</w:t>
      </w:r>
      <w:r>
        <w:rPr>
          <w:rFonts w:ascii="Arial" w:cs="Arial" w:eastAsia="Arial" w:hAnsi="Arial"/>
          <w:sz w:val="18"/>
          <w:szCs w:val="18"/>
          <w:color w:val="231F20"/>
        </w:rPr>
        <w:t xml:space="preserve"> compared to the six </w:t>
      </w:r>
      <w:r>
        <w:rPr>
          <w:rFonts w:ascii="Arial" w:cs="Arial" w:eastAsia="Arial" w:hAnsi="Arial"/>
          <w:sz w:val="18"/>
          <w:szCs w:val="18"/>
          <w:color w:val="000000"/>
        </w:rPr>
        <w:t>months ended June 30, 2015,</w:t>
      </w:r>
      <w:r>
        <w:rPr>
          <w:rFonts w:ascii="Arial" w:cs="Arial" w:eastAsia="Arial" w:hAnsi="Arial"/>
          <w:sz w:val="18"/>
          <w:szCs w:val="18"/>
          <w:color w:val="231F20"/>
        </w:rPr>
        <w:t xml:space="preserve"> primarily due increased personnel expenses, including stock-based compensation, of $0.7 million to support continued growth of our business; a $1.1 million increase in depreciation expense related to additional computer hardware and software; increased third-party software license and maintenance expense of $1.1 million; and increased data center costs of $0.2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4"/>
        </w:trPr>
        <w:tc>
          <w:tcPr>
            <w:tcW w:w="50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3"/>
                <w:szCs w:val="23"/>
                <w:color w:val="auto"/>
              </w:rPr>
            </w:pPr>
          </w:p>
        </w:tc>
      </w:tr>
      <w:tr>
        <w:trPr>
          <w:trHeight w:val="264"/>
        </w:trPr>
        <w:tc>
          <w:tcPr>
            <w:tcW w:w="50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50"/>
        </w:trPr>
        <w:tc>
          <w:tcPr>
            <w:tcW w:w="5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74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7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16,977</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231F20"/>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14,355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2,622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55"/>
        </w:trPr>
        <w:tc>
          <w:tcPr>
            <w:tcW w:w="50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15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231F20"/>
        </w:rPr>
        <w:t xml:space="preserve">Research and development expenses increased $ 2.6 million for the six months ended June 30, 2016 compared to the six </w:t>
      </w:r>
      <w:r>
        <w:rPr>
          <w:rFonts w:ascii="Arial" w:cs="Arial" w:eastAsia="Arial" w:hAnsi="Arial"/>
          <w:sz w:val="18"/>
          <w:szCs w:val="18"/>
          <w:color w:val="000000"/>
        </w:rPr>
        <w:t>months ended</w:t>
      </w:r>
      <w:r>
        <w:rPr>
          <w:rFonts w:ascii="Arial" w:cs="Arial" w:eastAsia="Arial" w:hAnsi="Arial"/>
          <w:sz w:val="18"/>
          <w:szCs w:val="18"/>
          <w:color w:val="231F20"/>
        </w:rPr>
        <w:t xml:space="preserve"> </w:t>
      </w:r>
      <w:r>
        <w:rPr>
          <w:rFonts w:ascii="Arial" w:cs="Arial" w:eastAsia="Arial" w:hAnsi="Arial"/>
          <w:sz w:val="18"/>
          <w:szCs w:val="18"/>
          <w:color w:val="000000"/>
        </w:rPr>
        <w:t xml:space="preserve">June 30, 2015, </w:t>
      </w:r>
      <w:r>
        <w:rPr>
          <w:rFonts w:ascii="Arial" w:cs="Arial" w:eastAsia="Arial" w:hAnsi="Arial"/>
          <w:sz w:val="18"/>
          <w:szCs w:val="18"/>
          <w:color w:val="231F20"/>
        </w:rPr>
        <w:t>primarily due to an increase in personnel expenses of $ 2.2 million, due to new employees and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and an increase of $ 0.3 million for contractor expenses. We continue to significantly invest in and expand our research and development teams to continuously improve our platform and existing solutions, as well as develop new solutions and capabilities.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67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28,384</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231F20"/>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231F20"/>
              </w:rPr>
              <w:t>24,219</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4,165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231F20"/>
        </w:rPr>
        <w:t xml:space="preserve">Sales and marketing expenses increased $4.2 million for the six </w:t>
      </w:r>
      <w:r>
        <w:rPr>
          <w:rFonts w:ascii="Arial" w:cs="Arial" w:eastAsia="Arial" w:hAnsi="Arial"/>
          <w:sz w:val="18"/>
          <w:szCs w:val="18"/>
          <w:color w:val="000000"/>
        </w:rPr>
        <w:t>months ended June 30, 2016</w:t>
      </w:r>
      <w:r>
        <w:rPr>
          <w:rFonts w:ascii="Arial" w:cs="Arial" w:eastAsia="Arial" w:hAnsi="Arial"/>
          <w:sz w:val="18"/>
          <w:szCs w:val="18"/>
          <w:color w:val="231F20"/>
        </w:rPr>
        <w:t xml:space="preserve"> compared to the six </w:t>
      </w:r>
      <w:r>
        <w:rPr>
          <w:rFonts w:ascii="Arial" w:cs="Arial" w:eastAsia="Arial" w:hAnsi="Arial"/>
          <w:sz w:val="18"/>
          <w:szCs w:val="18"/>
          <w:color w:val="000000"/>
        </w:rPr>
        <w:t>months ended June</w:t>
      </w:r>
      <w:r>
        <w:rPr>
          <w:rFonts w:ascii="Arial" w:cs="Arial" w:eastAsia="Arial" w:hAnsi="Arial"/>
          <w:sz w:val="18"/>
          <w:szCs w:val="18"/>
          <w:color w:val="231F20"/>
        </w:rPr>
        <w:t xml:space="preserve"> </w:t>
      </w:r>
      <w:r>
        <w:rPr>
          <w:rFonts w:ascii="Arial" w:cs="Arial" w:eastAsia="Arial" w:hAnsi="Arial"/>
          <w:sz w:val="18"/>
          <w:szCs w:val="18"/>
          <w:color w:val="000000"/>
        </w:rPr>
        <w:t>30, 2015</w:t>
      </w:r>
      <w:r>
        <w:rPr>
          <w:rFonts w:ascii="Arial" w:cs="Arial" w:eastAsia="Arial" w:hAnsi="Arial"/>
          <w:sz w:val="18"/>
          <w:szCs w:val="18"/>
          <w:color w:val="231F20"/>
        </w:rPr>
        <w:t>, primarily due to increased personnel expenses of $2.7 million, principally due to new employees and higher stock-based</w:t>
      </w:r>
      <w:r>
        <w:rPr>
          <w:rFonts w:ascii="Arial" w:cs="Arial" w:eastAsia="Arial" w:hAnsi="Arial"/>
          <w:sz w:val="18"/>
          <w:szCs w:val="18"/>
          <w:color w:val="000000"/>
        </w:rPr>
        <w:t xml:space="preserve"> </w:t>
      </w:r>
      <w:r>
        <w:rPr>
          <w:rFonts w:ascii="Arial" w:cs="Arial" w:eastAsia="Arial" w:hAnsi="Arial"/>
          <w:sz w:val="18"/>
          <w:szCs w:val="18"/>
          <w:color w:val="231F20"/>
        </w:rPr>
        <w:t>compensation; an increase in marketing expenses of $0.9 million, primarily due to increased trade shows and program activities as we introduce new services; and increased software license and maintenance fees of $0.3 million.</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2"/>
          </w:tcPr>
          <w:p>
            <w:pPr>
              <w:jc w:val="center"/>
              <w:ind w:left="67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231F20"/>
              </w:rPr>
              <w:t>16,536</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231F20"/>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231F20"/>
              </w:rPr>
              <w:t>12,443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4,093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55"/>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231F20"/>
        </w:rPr>
        <w:t xml:space="preserve">General and administrative expenses increased $4.1 million for the six </w:t>
      </w:r>
      <w:r>
        <w:rPr>
          <w:rFonts w:ascii="Arial" w:cs="Arial" w:eastAsia="Arial" w:hAnsi="Arial"/>
          <w:sz w:val="18"/>
          <w:szCs w:val="18"/>
          <w:color w:val="000000"/>
        </w:rPr>
        <w:t>months ended June 30, 2016</w:t>
      </w:r>
      <w:r>
        <w:rPr>
          <w:rFonts w:ascii="Arial" w:cs="Arial" w:eastAsia="Arial" w:hAnsi="Arial"/>
          <w:sz w:val="18"/>
          <w:szCs w:val="18"/>
          <w:color w:val="231F20"/>
        </w:rPr>
        <w:t xml:space="preserve"> compared to the six </w:t>
      </w:r>
      <w:r>
        <w:rPr>
          <w:rFonts w:ascii="Arial" w:cs="Arial" w:eastAsia="Arial" w:hAnsi="Arial"/>
          <w:sz w:val="18"/>
          <w:szCs w:val="18"/>
          <w:color w:val="000000"/>
        </w:rPr>
        <w:t>months ended</w:t>
      </w:r>
      <w:r>
        <w:rPr>
          <w:rFonts w:ascii="Arial" w:cs="Arial" w:eastAsia="Arial" w:hAnsi="Arial"/>
          <w:sz w:val="18"/>
          <w:szCs w:val="18"/>
          <w:color w:val="231F20"/>
        </w:rPr>
        <w:t xml:space="preserve"> </w:t>
      </w:r>
      <w:r>
        <w:rPr>
          <w:rFonts w:ascii="Arial" w:cs="Arial" w:eastAsia="Arial" w:hAnsi="Arial"/>
          <w:sz w:val="18"/>
          <w:szCs w:val="18"/>
          <w:color w:val="000000"/>
        </w:rPr>
        <w:t xml:space="preserve">June 30, 2015, </w:t>
      </w:r>
      <w:r>
        <w:rPr>
          <w:rFonts w:ascii="Arial" w:cs="Arial" w:eastAsia="Arial" w:hAnsi="Arial"/>
          <w:sz w:val="18"/>
          <w:szCs w:val="18"/>
          <w:color w:val="231F20"/>
        </w:rPr>
        <w:t>primarily driven by increased personnel expenses of $1.1 million, principally due to additional employees and higher stock-based compensation; increased legal, accounting and consulting services of $1.6 million; and $0.7 million of a non-recurring expense in the current period, related to the remittance of payroll taxes from fiscal year 2013 through May 2016.</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70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506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50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5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74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(expense), net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231F20"/>
                <w:w w:val="89"/>
              </w:rPr>
              <w:t>$</w:t>
            </w:r>
          </w:p>
        </w:tc>
        <w:tc>
          <w:tcPr>
            <w:tcW w:w="5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208</w:t>
            </w:r>
          </w:p>
        </w:tc>
        <w:tc>
          <w:tcPr>
            <w:tcW w:w="112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231F20"/>
              </w:rPr>
              <w: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5"/>
        </w:trPr>
        <w:tc>
          <w:tcPr>
            <w:tcW w:w="50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w:t>
            </w:r>
          </w:p>
        </w:tc>
        <w:tc>
          <w:tcPr>
            <w:tcW w:w="1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09"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231F20"/>
        </w:rPr>
        <w:t>Total other income (expense), net, increased by $0.2 million for the six months ended June 30, 2016 compared to the six months ended June 30, 2015, primarily due to an increase in investment and interest income and lower foreign exchange losses.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4"/>
        </w:trPr>
        <w:tc>
          <w:tcPr>
            <w:tcW w:w="49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11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3"/>
                <w:szCs w:val="23"/>
                <w:color w:val="auto"/>
              </w:rPr>
            </w:pPr>
          </w:p>
        </w:tc>
      </w:tr>
      <w:tr>
        <w:trPr>
          <w:trHeight w:val="264"/>
        </w:trPr>
        <w:tc>
          <w:tcPr>
            <w:tcW w:w="4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780" w:type="dxa"/>
            <w:vAlign w:val="bottom"/>
            <w:gridSpan w:val="5"/>
          </w:tcPr>
          <w:p>
            <w:pPr>
              <w:jc w:val="right"/>
              <w:ind w:right="73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74"/>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231F20"/>
              </w:rPr>
              <w:t>5,196</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231F20"/>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231F20"/>
              </w:rPr>
              <w:t>3,965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1,231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55"/>
        </w:trPr>
        <w:tc>
          <w:tcPr>
            <w:tcW w:w="498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3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38.4 %</w:t>
            </w:r>
          </w:p>
        </w:tc>
        <w:tc>
          <w:tcPr>
            <w:tcW w:w="5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38.6 %</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r>
    </w:tbl>
    <w:p>
      <w:pPr>
        <w:spacing w:after="0" w:line="236"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231F20"/>
        </w:rPr>
        <w:t>The provision for income taxes increased by $1.2 million for the six months ended June 30, 2016 compared to the six months ended June 30, 2015, primarily due to an increase in income before taxes.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0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June 30, 2016</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$261 million</w:t>
      </w:r>
      <w:r>
        <w:rPr>
          <w:rFonts w:ascii="Arial" w:cs="Arial" w:eastAsia="Arial" w:hAnsi="Arial"/>
          <w:sz w:val="18"/>
          <w:szCs w:val="18"/>
          <w:color w:val="231F20"/>
        </w:rPr>
        <w:t>, including $3.8 million held outside of the United States by our foreign subsidiaries. We do not intend to repatriate these funds generated from foreign operations to fund our domestic operations.</w:t>
      </w:r>
    </w:p>
    <w:p>
      <w:pPr>
        <w:spacing w:after="0" w:line="163"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231F20"/>
        </w:rPr>
        <w:t>We have experienced positive cash flows from operations during the six months ended June 30, 2016 and 2015.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71"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Six Months Ended</w:t>
            </w:r>
          </w:p>
        </w:tc>
      </w:tr>
      <w:tr>
        <w:trPr>
          <w:trHeight w:val="274"/>
        </w:trPr>
        <w:tc>
          <w:tcPr>
            <w:tcW w:w="8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23"/>
                <w:szCs w:val="23"/>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0"/>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34,461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r>
      <w:tr>
        <w:trPr>
          <w:trHeight w:val="262"/>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(21,174)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(23,734)</w:t>
            </w: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13,209</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5,738</w:t>
            </w:r>
          </w:p>
        </w:tc>
      </w:tr>
      <w:tr>
        <w:trPr>
          <w:trHeight w:val="242"/>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26,496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25"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2016</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$34.5 million</w:t>
      </w:r>
      <w:r>
        <w:rPr>
          <w:rFonts w:ascii="Arial" w:cs="Arial" w:eastAsia="Arial" w:hAnsi="Arial"/>
          <w:sz w:val="18"/>
          <w:szCs w:val="18"/>
          <w:color w:val="231F20"/>
        </w:rPr>
        <w:t xml:space="preserve"> resulted from our net income of approximately </w:t>
      </w:r>
      <w:r>
        <w:rPr>
          <w:rFonts w:ascii="Arial" w:cs="Arial" w:eastAsia="Arial" w:hAnsi="Arial"/>
          <w:sz w:val="18"/>
          <w:szCs w:val="18"/>
          <w:color w:val="000000"/>
        </w:rPr>
        <w:t>$8.3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$ 4.2 million</w:t>
      </w:r>
      <w:r>
        <w:rPr>
          <w:rFonts w:ascii="Arial" w:cs="Arial" w:eastAsia="Arial" w:hAnsi="Arial"/>
          <w:sz w:val="18"/>
          <w:szCs w:val="18"/>
          <w:color w:val="231F20"/>
        </w:rPr>
        <w:t xml:space="preserve">, attributable to our continued growth, an increase in accounts payable and accrued liabilities of $4.9 million due to the purchase of a large software license in the period, and a decrease in accounts receivable of $ 1.8 million. These working capital increases are further increased by non-cash items including depreciation and amortization expense of </w:t>
      </w:r>
      <w:r>
        <w:rPr>
          <w:rFonts w:ascii="Arial" w:cs="Arial" w:eastAsia="Arial" w:hAnsi="Arial"/>
          <w:sz w:val="18"/>
          <w:szCs w:val="18"/>
          <w:color w:val="000000"/>
        </w:rPr>
        <w:t>$7.8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$10.0 million</w:t>
      </w:r>
      <w:r>
        <w:rPr>
          <w:rFonts w:ascii="Arial" w:cs="Arial" w:eastAsia="Arial" w:hAnsi="Arial"/>
          <w:sz w:val="18"/>
          <w:szCs w:val="18"/>
          <w:color w:val="231F20"/>
        </w:rPr>
        <w:t>. These increases are partially offset by excess tax benefits from stock-based compensation of $3.7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2015</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$25.6 million</w:t>
      </w:r>
      <w:r>
        <w:rPr>
          <w:rFonts w:ascii="Arial" w:cs="Arial" w:eastAsia="Arial" w:hAnsi="Arial"/>
          <w:sz w:val="18"/>
          <w:szCs w:val="18"/>
          <w:color w:val="231F20"/>
        </w:rPr>
        <w:t xml:space="preserve"> resulted from our net income of </w:t>
      </w:r>
      <w:r>
        <w:rPr>
          <w:rFonts w:ascii="Arial" w:cs="Arial" w:eastAsia="Arial" w:hAnsi="Arial"/>
          <w:sz w:val="18"/>
          <w:szCs w:val="18"/>
          <w:color w:val="000000"/>
        </w:rPr>
        <w:t>$6.3 million</w:t>
      </w:r>
      <w:r>
        <w:rPr>
          <w:rFonts w:ascii="Arial" w:cs="Arial" w:eastAsia="Arial" w:hAnsi="Arial"/>
          <w:sz w:val="18"/>
          <w:szCs w:val="18"/>
          <w:color w:val="231F20"/>
        </w:rPr>
        <w:t xml:space="preserve">, as adjusted by an increase in deferred revenues of </w:t>
      </w:r>
      <w:r>
        <w:rPr>
          <w:rFonts w:ascii="Arial" w:cs="Arial" w:eastAsia="Arial" w:hAnsi="Arial"/>
          <w:sz w:val="18"/>
          <w:szCs w:val="18"/>
          <w:color w:val="000000"/>
        </w:rPr>
        <w:t>$5.9 million</w:t>
      </w:r>
      <w:r>
        <w:rPr>
          <w:rFonts w:ascii="Arial" w:cs="Arial" w:eastAsia="Arial" w:hAnsi="Arial"/>
          <w:sz w:val="18"/>
          <w:szCs w:val="18"/>
          <w:color w:val="231F20"/>
        </w:rPr>
        <w:t xml:space="preserve">, attributable to our continued growth. These working capital increases are further increased by non-cash items including depreciation and amortization expense of </w:t>
      </w:r>
      <w:r>
        <w:rPr>
          <w:rFonts w:ascii="Arial" w:cs="Arial" w:eastAsia="Arial" w:hAnsi="Arial"/>
          <w:sz w:val="18"/>
          <w:szCs w:val="18"/>
          <w:color w:val="000000"/>
        </w:rPr>
        <w:t>$ 6.6 million</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$8.3 million</w:t>
      </w:r>
      <w:r>
        <w:rPr>
          <w:rFonts w:ascii="Arial" w:cs="Arial" w:eastAsia="Arial" w:hAnsi="Arial"/>
          <w:sz w:val="18"/>
          <w:szCs w:val="18"/>
          <w:color w:val="231F20"/>
        </w:rPr>
        <w:t>, and additions to deferred income tax assets of $3.1 million. These increases are partially offset by an increase in accounts</w:t>
      </w:r>
      <w:r>
        <w:rPr>
          <w:rFonts w:ascii="Arial" w:cs="Arial" w:eastAsia="Arial" w:hAnsi="Arial"/>
          <w:sz w:val="18"/>
          <w:szCs w:val="18"/>
          <w:color w:val="000000"/>
        </w:rPr>
        <w:t xml:space="preserve"> </w:t>
      </w:r>
      <w:r>
        <w:rPr>
          <w:rFonts w:ascii="Arial" w:cs="Arial" w:eastAsia="Arial" w:hAnsi="Arial"/>
          <w:sz w:val="18"/>
          <w:szCs w:val="18"/>
          <w:color w:val="231F20"/>
        </w:rPr>
        <w:t>receivable of $1.9 million, due to timing of orders received relatively later in the quarter, and by a decrease in accounts payable of $4.6 million due to timing of payments.</w:t>
      </w: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7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2016</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$21.2 million was primarily attributable to $9.0 million of cash</w:t>
      </w:r>
      <w:r>
        <w:rPr>
          <w:rFonts w:ascii="Arial" w:cs="Arial" w:eastAsia="Arial" w:hAnsi="Arial"/>
          <w:sz w:val="18"/>
          <w:szCs w:val="18"/>
          <w:color w:val="231F20"/>
        </w:rPr>
        <w:t xml:space="preserve"> </w:t>
      </w:r>
      <w:r>
        <w:rPr>
          <w:rFonts w:ascii="Arial" w:cs="Arial" w:eastAsia="Arial" w:hAnsi="Arial"/>
          <w:sz w:val="18"/>
          <w:szCs w:val="18"/>
          <w:color w:val="000000"/>
        </w:rPr>
        <w:t>used for capital expenditures, including computer hardware and software for our data centers to support our growth and development and physical scanner appliances and computer hardware provided to certain customers as part of their subscriptions; and purchases of investments, net of sales and maturities, of $12.2 million.</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2015</w:t>
      </w:r>
      <w:r>
        <w:rPr>
          <w:rFonts w:ascii="Arial" w:cs="Arial" w:eastAsia="Arial" w:hAnsi="Arial"/>
          <w:sz w:val="18"/>
          <w:szCs w:val="18"/>
          <w:color w:val="231F20"/>
        </w:rPr>
        <w:t xml:space="preserve">, cash used in investing activities of $23.7 million was primarily attributable to </w:t>
      </w:r>
      <w:r>
        <w:rPr>
          <w:rFonts w:ascii="Arial" w:cs="Arial" w:eastAsia="Arial" w:hAnsi="Arial"/>
          <w:sz w:val="18"/>
          <w:szCs w:val="18"/>
          <w:color w:val="000000"/>
        </w:rPr>
        <w:t>$10.4 million of cash</w:t>
      </w:r>
      <w:r>
        <w:rPr>
          <w:rFonts w:ascii="Arial" w:cs="Arial" w:eastAsia="Arial" w:hAnsi="Arial"/>
          <w:sz w:val="18"/>
          <w:szCs w:val="18"/>
          <w:color w:val="231F20"/>
        </w:rPr>
        <w:t xml:space="preserve"> </w:t>
      </w:r>
      <w:r>
        <w:rPr>
          <w:rFonts w:ascii="Arial" w:cs="Arial" w:eastAsia="Arial" w:hAnsi="Arial"/>
          <w:sz w:val="18"/>
          <w:szCs w:val="18"/>
          <w:color w:val="000000"/>
        </w:rPr>
        <w:t>used for capital expenditures, including computer hardware and software for our data centers to support our growth and development and physical scanner appliances provided to certain customers as part of their subscriptions, and purchases of investments, net of sales and maturities, of $13.2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25"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2016</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$13.2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$9.5 million</w:t>
      </w:r>
      <w:r>
        <w:rPr>
          <w:rFonts w:ascii="Arial" w:cs="Arial" w:eastAsia="Arial" w:hAnsi="Arial"/>
          <w:sz w:val="18"/>
          <w:szCs w:val="18"/>
          <w:color w:val="231F20"/>
        </w:rPr>
        <w:t xml:space="preserve"> of proceeds from the exercise of stock options and $3.7 million of tax benefit from stock-based compensation.</w:t>
      </w:r>
    </w:p>
    <w:p>
      <w:pPr>
        <w:spacing w:after="0" w:line="145"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six months ended June 30, 2015</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$5.7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$5.5 million</w:t>
      </w:r>
      <w:r>
        <w:rPr>
          <w:rFonts w:ascii="Arial" w:cs="Arial" w:eastAsia="Arial" w:hAnsi="Arial"/>
          <w:sz w:val="18"/>
          <w:szCs w:val="18"/>
          <w:color w:val="231F20"/>
        </w:rPr>
        <w:t xml:space="preserve"> of proceeds from the exercise of stock options.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73" w:lineRule="exact"/>
        <w:rPr>
          <w:sz w:val="20"/>
          <w:szCs w:val="20"/>
          <w:color w:val="auto"/>
        </w:rPr>
      </w:pPr>
    </w:p>
    <w:p>
      <w:pPr>
        <w:ind w:right="60" w:firstLine="486"/>
        <w:spacing w:after="0" w:line="271"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June 30, 2016</w:t>
      </w:r>
      <w:r>
        <w:rPr>
          <w:rFonts w:ascii="Arial" w:cs="Arial" w:eastAsia="Arial" w:hAnsi="Arial"/>
          <w:sz w:val="18"/>
          <w:szCs w:val="18"/>
          <w:color w:val="231F20"/>
        </w:rPr>
        <w:t xml:space="preserve"> and the effect such obligations are expected to have on our liquidity and cash flows in future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rPr>
              <w:t>Payment Due by Period</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Remainder of</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2021 and</w:t>
            </w:r>
          </w:p>
        </w:tc>
        <w:tc>
          <w:tcPr>
            <w:tcW w:w="0" w:type="dxa"/>
            <w:vAlign w:val="bottom"/>
          </w:tcPr>
          <w:p>
            <w:pPr>
              <w:spacing w:after="0"/>
              <w:rPr>
                <w:sz w:val="1"/>
                <w:szCs w:val="1"/>
                <w:color w:val="auto"/>
              </w:rPr>
            </w:pPr>
          </w:p>
        </w:tc>
      </w:tr>
      <w:tr>
        <w:trPr>
          <w:trHeight w:val="182"/>
        </w:trPr>
        <w:tc>
          <w:tcPr>
            <w:tcW w:w="4700" w:type="dxa"/>
            <w:vAlign w:val="bottom"/>
            <w:gridSpan w:val="4"/>
          </w:tcPr>
          <w:p>
            <w:pPr>
              <w:ind w:left="40"/>
              <w:spacing w:after="0" w:line="182" w:lineRule="exact"/>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5"/>
                <w:szCs w:val="15"/>
                <w:color w:val="auto"/>
              </w:rPr>
            </w:pPr>
          </w:p>
        </w:tc>
        <w:tc>
          <w:tcPr>
            <w:tcW w:w="1100" w:type="dxa"/>
            <w:vAlign w:val="bottom"/>
            <w:gridSpan w:val="2"/>
          </w:tcPr>
          <w:p>
            <w:pPr>
              <w:ind w:left="160"/>
              <w:spacing w:after="0" w:line="182"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980" w:type="dxa"/>
            <w:vAlign w:val="bottom"/>
          </w:tcPr>
          <w:p>
            <w:pPr>
              <w:jc w:val="right"/>
              <w:ind w:right="359"/>
              <w:spacing w:after="0" w:line="182"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2017-2018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9"/>
              <w:spacing w:after="0" w:line="182" w:lineRule="exact"/>
              <w:rPr>
                <w:sz w:val="20"/>
                <w:szCs w:val="20"/>
                <w:color w:val="auto"/>
              </w:rPr>
            </w:pPr>
            <w:r>
              <w:rPr>
                <w:rFonts w:ascii="Arial" w:cs="Arial" w:eastAsia="Arial" w:hAnsi="Arial"/>
                <w:sz w:val="16"/>
                <w:szCs w:val="16"/>
                <w:b w:val="1"/>
                <w:bCs w:val="1"/>
                <w:color w:val="auto"/>
              </w:rPr>
              <w:t>2019-2020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79"/>
              <w:spacing w:after="0" w:line="182" w:lineRule="exact"/>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9"/>
              </w:rPr>
              <w:t>(in thousands)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40" w:type="dxa"/>
            <w:vAlign w:val="bottom"/>
            <w:shd w:val="clear" w:color="auto" w:fill="CCEEFF"/>
          </w:tcPr>
          <w:p>
            <w:pPr>
              <w:spacing w:after="0"/>
              <w:rPr>
                <w:sz w:val="16"/>
                <w:szCs w:val="16"/>
                <w:color w:val="auto"/>
              </w:rPr>
            </w:pPr>
          </w:p>
        </w:tc>
        <w:tc>
          <w:tcPr>
            <w:tcW w:w="200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2660" w:type="dxa"/>
            <w:vAlign w:val="bottom"/>
            <w:shd w:val="clear" w:color="auto" w:fill="CCEEFF"/>
          </w:tcPr>
          <w:p>
            <w:pPr>
              <w:jc w:val="right"/>
              <w:ind w:right="2466"/>
              <w:spacing w:after="0"/>
              <w:rPr>
                <w:sz w:val="20"/>
                <w:szCs w:val="20"/>
                <w:color w:val="auto"/>
              </w:rPr>
            </w:pPr>
            <w:r>
              <w:rPr>
                <w:rFonts w:ascii="Arial" w:cs="Arial" w:eastAsia="Arial" w:hAnsi="Arial"/>
                <w:sz w:val="11"/>
                <w:szCs w:val="11"/>
                <w:color w:val="auto"/>
                <w:w w:val="88"/>
                <w:shd w:val="clear" w:color="auto" w:fill="CCEEFF"/>
              </w:rPr>
              <w:t>(1)</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9,495</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4,633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88"/>
        </w:trPr>
        <w:tc>
          <w:tcPr>
            <w:tcW w:w="40" w:type="dxa"/>
            <w:vAlign w:val="bottom"/>
            <w:tcBorders>
              <w:bottom w:val="single" w:sz="8" w:color="CCEEFF"/>
            </w:tcBorders>
            <w:shd w:val="clear" w:color="auto" w:fill="CCEEFF"/>
          </w:tcPr>
          <w:p>
            <w:pPr>
              <w:spacing w:after="0"/>
              <w:rPr>
                <w:sz w:val="7"/>
                <w:szCs w:val="7"/>
                <w:color w:val="auto"/>
              </w:rPr>
            </w:pPr>
          </w:p>
        </w:tc>
        <w:tc>
          <w:tcPr>
            <w:tcW w:w="2000" w:type="dxa"/>
            <w:vAlign w:val="bottom"/>
            <w:tcBorders>
              <w:bottom w:val="single" w:sz="8" w:color="CCEEFF"/>
            </w:tcBorders>
            <w:gridSpan w:val="2"/>
            <w:vMerge w:val="continue"/>
            <w:shd w:val="clear" w:color="auto" w:fill="CCEEFF"/>
          </w:tcPr>
          <w:p>
            <w:pPr>
              <w:spacing w:after="0"/>
              <w:rPr>
                <w:sz w:val="7"/>
                <w:szCs w:val="7"/>
                <w:color w:val="auto"/>
              </w:rPr>
            </w:pPr>
          </w:p>
        </w:tc>
        <w:tc>
          <w:tcPr>
            <w:tcW w:w="266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660" w:type="dxa"/>
            <w:vAlign w:val="bottom"/>
            <w:gridSpan w:val="3"/>
          </w:tcPr>
          <w:p>
            <w:pPr>
              <w:ind w:left="2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9,495</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4,633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340" w:right="80" w:hanging="332"/>
        <w:spacing w:after="0" w:line="311" w:lineRule="auto"/>
        <w:tabs>
          <w:tab w:leader="none" w:pos="232"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4"/>
          <w:szCs w:val="14"/>
          <w:color w:val="000000"/>
        </w:rPr>
        <w:t>six</w:t>
      </w:r>
      <w:r>
        <w:rPr>
          <w:rFonts w:ascii="Arial" w:cs="Arial" w:eastAsia="Arial" w:hAnsi="Arial"/>
          <w:sz w:val="14"/>
          <w:szCs w:val="14"/>
          <w:color w:val="231F20"/>
        </w:rPr>
        <w:t xml:space="preserve"> </w:t>
      </w:r>
      <w:r>
        <w:rPr>
          <w:rFonts w:ascii="Arial" w:cs="Arial" w:eastAsia="Arial" w:hAnsi="Arial"/>
          <w:sz w:val="14"/>
          <w:szCs w:val="14"/>
          <w:color w:val="000000"/>
        </w:rPr>
        <w:t>months ended June 30, 2016</w:t>
      </w:r>
      <w:r>
        <w:rPr>
          <w:rFonts w:ascii="Arial" w:cs="Arial" w:eastAsia="Arial" w:hAnsi="Arial"/>
          <w:sz w:val="14"/>
          <w:szCs w:val="14"/>
          <w:color w:val="231F20"/>
        </w:rPr>
        <w:t>, we made regular payments on our operating lease obligations of $2.3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73"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73" w:lineRule="exact"/>
        <w:rPr>
          <w:sz w:val="20"/>
          <w:szCs w:val="20"/>
          <w:color w:val="auto"/>
        </w:rPr>
      </w:pPr>
    </w:p>
    <w:p>
      <w:pPr>
        <w:ind w:right="260" w:firstLine="486"/>
        <w:spacing w:after="0" w:line="29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73"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2015, filed with the SEC on February 26, 2016,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2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295"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48"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 xml:space="preserve">We have $261 million in cash, cash equivalents and short-term and long-term investments at June 30, 2016.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w:t>
      </w:r>
      <w:r>
        <w:rPr>
          <w:rFonts w:ascii="Arial" w:cs="Arial" w:eastAsia="Arial" w:hAnsi="Arial"/>
          <w:sz w:val="18"/>
          <w:szCs w:val="18"/>
          <w:color w:val="auto"/>
        </w:rPr>
        <w:t xml:space="preserve"> </w:t>
      </w:r>
      <w:r>
        <w:rPr>
          <w:rFonts w:ascii="Arial" w:cs="Arial" w:eastAsia="Arial" w:hAnsi="Arial"/>
          <w:sz w:val="18"/>
          <w:szCs w:val="18"/>
          <w:color w:val="231F20"/>
        </w:rPr>
        <w:t>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13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52" w:lineRule="exact"/>
        <w:rPr>
          <w:sz w:val="20"/>
          <w:szCs w:val="20"/>
          <w:color w:val="auto"/>
        </w:rPr>
      </w:pPr>
    </w:p>
    <w:p>
      <w:pPr>
        <w:ind w:right="140" w:firstLine="486"/>
        <w:spacing w:after="0" w:line="27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2016. The term “disclosure controls and procedures,” as defined in Rules 13a-15(e)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2016,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52" w:lineRule="exact"/>
        <w:rPr>
          <w:sz w:val="20"/>
          <w:szCs w:val="20"/>
          <w:color w:val="auto"/>
        </w:rPr>
      </w:pPr>
    </w:p>
    <w:p>
      <w:pPr>
        <w:jc w:val="both"/>
        <w:ind w:right="300" w:firstLine="486"/>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II. OTHER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149"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solutions generate most of our revenues, and if we are unable to continue to renew and grow subscriptions for these solutions, our operating results would suffer.</w:t>
      </w:r>
    </w:p>
    <w:p>
      <w:pPr>
        <w:spacing w:after="0" w:line="129"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231F20"/>
        </w:rPr>
        <w:t>We derived approximately 79% of our revenues from subscriptions to our core Vulnerability Management solutions for the six months ended June 30, 2016. We expect to continue to derive a majority of our revenues from subscriptions to our VM solutions, which also include the related portion of additional offerings, such as Continuous Monitoring and Cloud Agent, that expand the scope of capabilities within our platform. The market demand for our Qualys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78"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29" w:lineRule="exact"/>
        <w:rPr>
          <w:sz w:val="20"/>
          <w:szCs w:val="20"/>
          <w:color w:val="auto"/>
        </w:rPr>
      </w:pPr>
    </w:p>
    <w:p>
      <w:pPr>
        <w:ind w:right="140" w:firstLine="405"/>
        <w:spacing w:after="0" w:line="29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62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231F20"/>
        </w:rPr>
        <w:t>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145" w:lineRule="exact"/>
        <w:rPr>
          <w:sz w:val="20"/>
          <w:szCs w:val="20"/>
          <w:color w:val="auto"/>
        </w:rPr>
      </w:pPr>
    </w:p>
    <w:p>
      <w:pPr>
        <w:jc w:val="both"/>
        <w:ind w:right="160" w:firstLine="405"/>
        <w:spacing w:after="0" w:line="271"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6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5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78"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400" w:firstLine="405"/>
        <w:spacing w:after="0" w:line="26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70"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2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78"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29" w:lineRule="exact"/>
        <w:rPr>
          <w:sz w:val="20"/>
          <w:szCs w:val="20"/>
          <w:color w:val="auto"/>
        </w:rPr>
      </w:pPr>
    </w:p>
    <w:p>
      <w:pPr>
        <w:ind w:right="200" w:firstLine="405"/>
        <w:spacing w:after="0" w:line="260"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must</w:t>
      </w:r>
      <w:r>
        <w:rPr>
          <w:rFonts w:ascii="Arial" w:cs="Arial" w:eastAsia="Arial" w:hAnsi="Arial"/>
          <w:sz w:val="18"/>
          <w:szCs w:val="18"/>
          <w:color w:val="auto"/>
        </w:rPr>
        <w:t xml:space="preserve">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75"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8"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231F20"/>
        </w:rPr>
        <w:t>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63"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29"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2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including our Web Application Scanning, Policy Compliance, PCI Compliance, Malware Detection Service, and Qualys SECURE Seal, have been relatively modest compared to revenues from our Qualys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78"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29"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ind w:right="80" w:firstLine="392"/>
        <w:spacing w:after="0" w:line="255" w:lineRule="auto"/>
        <w:rPr>
          <w:sz w:val="20"/>
          <w:szCs w:val="20"/>
          <w:color w:val="auto"/>
        </w:rPr>
      </w:pPr>
      <w:r>
        <w:rPr>
          <w:rFonts w:ascii="Arial" w:cs="Arial" w:eastAsia="Arial" w:hAnsi="Arial"/>
          <w:sz w:val="18"/>
          <w:szCs w:val="18"/>
          <w:color w:val="auto"/>
        </w:rPr>
        <w:t xml:space="preserve">Our business depends on the overall demand for IT and on the economic health of our current and prospective customers. </w:t>
      </w:r>
      <w:r>
        <w:rPr>
          <w:rFonts w:ascii="Arial" w:cs="Arial" w:eastAsia="Arial" w:hAnsi="Arial"/>
          <w:sz w:val="18"/>
          <w:szCs w:val="18"/>
          <w:color w:val="231F20"/>
        </w:rPr>
        <w:t>Economic</w:t>
      </w:r>
      <w:r>
        <w:rPr>
          <w:rFonts w:ascii="Arial" w:cs="Arial" w:eastAsia="Arial" w:hAnsi="Arial"/>
          <w:sz w:val="18"/>
          <w:szCs w:val="18"/>
          <w:color w:val="auto"/>
        </w:rPr>
        <w:t xml:space="preserve"> </w:t>
      </w:r>
      <w:r>
        <w:rPr>
          <w:rFonts w:ascii="Arial" w:cs="Arial" w:eastAsia="Arial" w:hAnsi="Arial"/>
          <w:sz w:val="18"/>
          <w:szCs w:val="18"/>
          <w:color w:val="231F20"/>
        </w:rPr>
        <w:t>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r>
        <w:rPr>
          <w:rFonts w:ascii="Times New Roman" w:cs="Times New Roman" w:eastAsia="Times New Roman" w:hAnsi="Times New Roman"/>
          <w:sz w:val="18"/>
          <w:szCs w:val="18"/>
          <w:color w:val="231F20"/>
        </w:rPr>
        <w:t>.</w:t>
      </w:r>
    </w:p>
    <w:p>
      <w:pPr>
        <w:spacing w:after="0" w:line="181" w:lineRule="exact"/>
        <w:rPr>
          <w:sz w:val="20"/>
          <w:szCs w:val="20"/>
          <w:color w:val="auto"/>
        </w:rPr>
      </w:pPr>
    </w:p>
    <w:p>
      <w:pPr>
        <w:jc w:val="both"/>
        <w:ind w:right="500" w:firstLine="392"/>
        <w:spacing w:after="0" w:line="271"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231F20"/>
        </w:rPr>
        <w:t>spending on IT security could have a material adverse effect on demand for our platform and consequently on our business, financial condition and results of operations.</w:t>
      </w:r>
    </w:p>
    <w:p>
      <w:pPr>
        <w:spacing w:after="0" w:line="145"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50" w:lineRule="exact"/>
        <w:rPr>
          <w:sz w:val="20"/>
          <w:szCs w:val="20"/>
          <w:color w:val="auto"/>
        </w:rPr>
      </w:pPr>
    </w:p>
    <w:p>
      <w:pPr>
        <w:ind w:right="380" w:firstLine="405"/>
        <w:spacing w:after="0" w:line="258"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and the Netherlands.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7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70" w:lineRule="exact"/>
        <w:rPr>
          <w:sz w:val="20"/>
          <w:szCs w:val="20"/>
          <w:color w:val="auto"/>
        </w:rPr>
      </w:pPr>
    </w:p>
    <w:p>
      <w:pPr>
        <w:ind w:right="240" w:firstLine="405"/>
        <w:spacing w:after="0" w:line="271"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63"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29" w:lineRule="exact"/>
        <w:rPr>
          <w:sz w:val="20"/>
          <w:szCs w:val="20"/>
          <w:color w:val="auto"/>
        </w:rPr>
      </w:pPr>
    </w:p>
    <w:p>
      <w:pPr>
        <w:ind w:right="400" w:firstLine="405"/>
        <w:spacing w:after="0" w:line="260"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70" w:lineRule="exact"/>
        <w:rPr>
          <w:sz w:val="20"/>
          <w:szCs w:val="20"/>
          <w:color w:val="auto"/>
        </w:rPr>
      </w:pPr>
    </w:p>
    <w:p>
      <w:pPr>
        <w:ind w:right="300" w:firstLine="405"/>
        <w:spacing w:after="0" w:line="258"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231F20"/>
        </w:rPr>
        <w:t>further expand their presence in the IT security and compliance market and compete more directly against one or more of our solutions.</w:t>
      </w:r>
    </w:p>
    <w:p>
      <w:pPr>
        <w:spacing w:after="0" w:line="225" w:lineRule="exact"/>
        <w:rPr>
          <w:sz w:val="20"/>
          <w:szCs w:val="20"/>
          <w:color w:val="auto"/>
        </w:rPr>
      </w:pPr>
    </w:p>
    <w:p>
      <w:pPr>
        <w:jc w:val="both"/>
        <w:ind w:right="560" w:firstLine="405"/>
        <w:spacing w:after="0" w:line="271"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55" w:lineRule="exact"/>
        <w:rPr>
          <w:sz w:val="20"/>
          <w:szCs w:val="20"/>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860" w:hanging="528"/>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420" w:firstLine="405"/>
        <w:spacing w:after="0" w:line="271"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63"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77"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29"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25" w:lineRule="exact"/>
        <w:rPr>
          <w:sz w:val="20"/>
          <w:szCs w:val="20"/>
          <w:color w:val="auto"/>
        </w:rPr>
      </w:pPr>
    </w:p>
    <w:p>
      <w:pPr>
        <w:ind w:right="140" w:firstLine="405"/>
        <w:spacing w:after="0" w:line="258"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78"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78"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2" w:lineRule="exact"/>
        <w:rPr>
          <w:sz w:val="20"/>
          <w:szCs w:val="20"/>
          <w:color w:val="auto"/>
        </w:rPr>
      </w:pPr>
    </w:p>
    <w:p>
      <w:pPr>
        <w:ind w:right="400" w:firstLine="405"/>
        <w:spacing w:after="0" w:line="271"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840" w:firstLine="405"/>
        <w:spacing w:after="0" w:line="29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45"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29" w:lineRule="exact"/>
        <w:rPr>
          <w:sz w:val="20"/>
          <w:szCs w:val="20"/>
          <w:color w:val="auto"/>
        </w:rPr>
      </w:pPr>
    </w:p>
    <w:p>
      <w:pPr>
        <w:ind w:right="140" w:firstLine="405"/>
        <w:spacing w:after="0" w:line="260"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2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78"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178"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231F20"/>
        </w:rPr>
        <w:t>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63"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63" w:lineRule="exact"/>
        <w:rPr>
          <w:sz w:val="20"/>
          <w:szCs w:val="20"/>
          <w:color w:val="auto"/>
        </w:rPr>
      </w:pPr>
    </w:p>
    <w:p>
      <w:pPr>
        <w:ind w:right="700"/>
        <w:spacing w:after="0" w:line="301"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5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2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55"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8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In addition, approximately 45%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29" w:lineRule="exact"/>
        <w:rPr>
          <w:sz w:val="20"/>
          <w:szCs w:val="20"/>
          <w:color w:val="auto"/>
        </w:rPr>
      </w:pPr>
    </w:p>
    <w:p>
      <w:pPr>
        <w:ind w:right="40" w:firstLine="405"/>
        <w:spacing w:after="0" w:line="260"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29" w:lineRule="exact"/>
        <w:rPr>
          <w:sz w:val="20"/>
          <w:szCs w:val="20"/>
          <w:color w:val="auto"/>
        </w:rPr>
      </w:pPr>
    </w:p>
    <w:p>
      <w:pPr>
        <w:ind w:right="140" w:firstLine="405"/>
        <w:spacing w:after="0" w:line="258" w:lineRule="auto"/>
        <w:rPr>
          <w:sz w:val="20"/>
          <w:szCs w:val="20"/>
          <w:color w:val="auto"/>
        </w:rPr>
      </w:pPr>
      <w:r>
        <w:rPr>
          <w:rFonts w:ascii="Arial" w:cs="Arial" w:eastAsia="Arial" w:hAnsi="Arial"/>
          <w:sz w:val="18"/>
          <w:szCs w:val="18"/>
          <w:color w:val="231F20"/>
        </w:rPr>
        <w:t xml:space="preserve">We have experienced significant growth over the last several years. From 2013 to 2015, our revenues have grown from </w:t>
      </w:r>
      <w:r>
        <w:rPr>
          <w:rFonts w:ascii="Arial" w:cs="Arial" w:eastAsia="Arial" w:hAnsi="Arial"/>
          <w:sz w:val="18"/>
          <w:szCs w:val="18"/>
          <w:color w:val="000000"/>
        </w:rPr>
        <w:t>$108 million</w:t>
      </w:r>
      <w:r>
        <w:rPr>
          <w:rFonts w:ascii="Arial" w:cs="Arial" w:eastAsia="Arial" w:hAnsi="Arial"/>
          <w:sz w:val="18"/>
          <w:szCs w:val="18"/>
          <w:color w:val="231F20"/>
        </w:rPr>
        <w:t xml:space="preserve"> to </w:t>
      </w:r>
      <w:r>
        <w:rPr>
          <w:rFonts w:ascii="Arial" w:cs="Arial" w:eastAsia="Arial" w:hAnsi="Arial"/>
          <w:sz w:val="18"/>
          <w:szCs w:val="18"/>
          <w:color w:val="000000"/>
        </w:rPr>
        <w:t>$164 million</w:t>
      </w:r>
      <w:r>
        <w:rPr>
          <w:rFonts w:ascii="Arial" w:cs="Arial" w:eastAsia="Arial" w:hAnsi="Arial"/>
          <w:sz w:val="18"/>
          <w:szCs w:val="18"/>
          <w:color w:val="231F20"/>
        </w:rPr>
        <w:t>, and our headcount increased from 359 employees at the beginning of 2013 to 602 employees at June 30, 2016.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7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231F20"/>
        </w:rPr>
        <w:t>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3"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29" w:lineRule="exact"/>
        <w:rPr>
          <w:sz w:val="20"/>
          <w:szCs w:val="20"/>
          <w:color w:val="auto"/>
        </w:rPr>
      </w:pPr>
    </w:p>
    <w:p>
      <w:pPr>
        <w:ind w:right="100" w:firstLine="405"/>
        <w:spacing w:after="0" w:line="260"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75"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Our success significantly depends upon establishing and maintaining relationships with a variety of channel partners and we anticipate that we will continue to depend on these partners in order to grow our business. For the six months ended June 30, 2016, we derived approximately 41%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7"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78"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7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7"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29" w:lineRule="exact"/>
        <w:rPr>
          <w:sz w:val="20"/>
          <w:szCs w:val="20"/>
          <w:color w:val="auto"/>
        </w:rPr>
      </w:pPr>
    </w:p>
    <w:p>
      <w:pPr>
        <w:ind w:right="120" w:firstLine="405"/>
        <w:spacing w:after="0" w:line="260"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77" w:lineRule="exact"/>
        <w:rPr>
          <w:sz w:val="20"/>
          <w:szCs w:val="20"/>
          <w:color w:val="auto"/>
        </w:rPr>
      </w:pPr>
    </w:p>
    <w:p>
      <w:pPr>
        <w:ind w:right="320" w:firstLine="405"/>
        <w:spacing w:after="0" w:line="271"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63"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firstLine="405"/>
        <w:spacing w:after="0" w:line="260"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75" w:lineRule="exact"/>
        <w:rPr>
          <w:sz w:val="20"/>
          <w:szCs w:val="20"/>
          <w:color w:val="auto"/>
        </w:rPr>
      </w:pPr>
    </w:p>
    <w:p>
      <w:pPr>
        <w:ind w:right="540"/>
        <w:spacing w:after="0" w:line="301"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29" w:lineRule="exact"/>
        <w:rPr>
          <w:sz w:val="20"/>
          <w:szCs w:val="20"/>
          <w:color w:val="auto"/>
        </w:rPr>
      </w:pPr>
    </w:p>
    <w:p>
      <w:pPr>
        <w:jc w:val="both"/>
        <w:ind w:right="120" w:firstLine="405"/>
        <w:spacing w:after="0" w:line="274" w:lineRule="auto"/>
        <w:rPr>
          <w:sz w:val="20"/>
          <w:szCs w:val="20"/>
          <w:color w:val="auto"/>
        </w:rPr>
      </w:pPr>
      <w:r>
        <w:rPr>
          <w:rFonts w:ascii="Arial" w:cs="Arial" w:eastAsia="Arial" w:hAnsi="Arial"/>
          <w:sz w:val="17"/>
          <w:szCs w:val="17"/>
          <w:color w:val="231F20"/>
        </w:rPr>
        <w:t>Our reporting currency is the U.S. dollar and we generate a majority of our revenues in U.S. dollars. However, for six months ended June 30, 2016, we incurred approximately 19% of our expenses outside of the United States in foreign currencies, primarily Euros, British Pounds, and Indian Rupee, principally with respect to salaries and related personnel expenses associated with our European and Indian operations.</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231F20"/>
        </w:rPr>
        <w:t>Additionally, for six months ended June 30, 2016, approximately 16%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18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0"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29" w:lineRule="exact"/>
        <w:rPr>
          <w:sz w:val="20"/>
          <w:szCs w:val="20"/>
          <w:color w:val="auto"/>
        </w:rPr>
      </w:pPr>
    </w:p>
    <w:p>
      <w:pPr>
        <w:jc w:val="both"/>
        <w:ind w:right="180" w:firstLine="405"/>
        <w:spacing w:after="0" w:line="271"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6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70" w:lineRule="exact"/>
        <w:rPr>
          <w:sz w:val="20"/>
          <w:szCs w:val="20"/>
          <w:color w:val="auto"/>
        </w:rPr>
      </w:pPr>
    </w:p>
    <w:p>
      <w:pPr>
        <w:ind w:right="540" w:firstLine="392"/>
        <w:spacing w:after="0" w:line="292"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line="264" w:lineRule="auto"/>
        <w:rPr>
          <w:sz w:val="20"/>
          <w:szCs w:val="20"/>
          <w:color w:val="auto"/>
        </w:rPr>
      </w:pPr>
      <w:r>
        <w:rPr>
          <w:rFonts w:ascii="Arial" w:cs="Arial" w:eastAsia="Arial" w:hAnsi="Arial"/>
          <w:sz w:val="18"/>
          <w:szCs w:val="18"/>
          <w:color w:val="231F20"/>
        </w:rPr>
        <w:t>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70" w:lineRule="exact"/>
        <w:rPr>
          <w:sz w:val="20"/>
          <w:szCs w:val="20"/>
          <w:color w:val="auto"/>
        </w:rPr>
      </w:pPr>
    </w:p>
    <w:p>
      <w:pPr>
        <w:ind w:right="100" w:firstLine="405"/>
        <w:spacing w:after="0" w:line="258"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8"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78"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36"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1" w:right="2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2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2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25" w:lineRule="exact"/>
        <w:rPr>
          <w:sz w:val="20"/>
          <w:szCs w:val="20"/>
          <w:color w:val="auto"/>
        </w:rPr>
      </w:pPr>
    </w:p>
    <w:p>
      <w:pPr>
        <w:ind w:right="20" w:firstLine="405"/>
        <w:spacing w:after="0" w:line="260"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175" w:lineRule="exact"/>
        <w:rPr>
          <w:sz w:val="20"/>
          <w:szCs w:val="20"/>
          <w:color w:val="auto"/>
        </w:rPr>
      </w:pPr>
    </w:p>
    <w:p>
      <w:pPr>
        <w:ind w:right="160" w:firstLine="405"/>
        <w:spacing w:after="0" w:line="260"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75"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7"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2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may issue equity securities which could dilute current stockholders’ ownership, incur debt, assume contingent or other liabilities and expend cash in acquisitions, which could negatively impact our financial position, stockholder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equity and stock price. </w:t>
      </w:r>
      <w:r>
        <w:rPr>
          <w:rFonts w:ascii="Arial" w:cs="Arial" w:eastAsia="Arial" w:hAnsi="Arial"/>
          <w:sz w:val="18"/>
          <w:szCs w:val="18"/>
          <w:color w:val="231F20"/>
        </w:rPr>
        <w:t>We may not find suitable acquisition candidates, and acquisitions we complete may be unsuccessful. If we consummate</w:t>
      </w:r>
      <w:r>
        <w:rPr>
          <w:rFonts w:ascii="Arial" w:cs="Arial" w:eastAsia="Arial" w:hAnsi="Arial"/>
          <w:sz w:val="18"/>
          <w:szCs w:val="18"/>
          <w:color w:val="auto"/>
        </w:rPr>
        <w:t xml:space="preserve"> </w:t>
      </w:r>
      <w:r>
        <w:rPr>
          <w:rFonts w:ascii="Arial" w:cs="Arial" w:eastAsia="Arial" w:hAnsi="Arial"/>
          <w:sz w:val="18"/>
          <w:szCs w:val="18"/>
          <w:color w:val="231F20"/>
        </w:rPr>
        <w:t>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63"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82"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29"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78" w:lineRule="exact"/>
        <w:rPr>
          <w:sz w:val="20"/>
          <w:szCs w:val="20"/>
          <w:color w:val="auto"/>
        </w:rPr>
      </w:pPr>
    </w:p>
    <w:p>
      <w:pPr>
        <w:jc w:val="both"/>
        <w:ind w:right="220"/>
        <w:spacing w:after="0" w:line="276"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5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77"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231F20"/>
        </w:rPr>
        <w:t>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3"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29" w:lineRule="exact"/>
        <w:rPr>
          <w:sz w:val="20"/>
          <w:szCs w:val="20"/>
          <w:color w:val="auto"/>
        </w:rPr>
      </w:pPr>
    </w:p>
    <w:p>
      <w:pPr>
        <w:ind w:right="120" w:firstLine="405"/>
        <w:spacing w:after="0" w:line="260"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$35.6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2015</w:t>
      </w:r>
      <w:r>
        <w:rPr>
          <w:rFonts w:ascii="Arial" w:cs="Arial" w:eastAsia="Arial" w:hAnsi="Arial"/>
          <w:sz w:val="18"/>
          <w:szCs w:val="18"/>
          <w:color w:val="231F20"/>
        </w:rPr>
        <w:t>. Increases in our effective tax rate could harm our operating results.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78"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2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3" w:lineRule="exact"/>
        <w:rPr>
          <w:sz w:val="20"/>
          <w:szCs w:val="20"/>
          <w:color w:val="auto"/>
        </w:rPr>
      </w:pPr>
    </w:p>
    <w:p>
      <w:pPr>
        <w:ind w:right="680"/>
        <w:spacing w:after="0" w:line="301"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2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170" w:lineRule="exact"/>
        <w:rPr>
          <w:sz w:val="20"/>
          <w:szCs w:val="20"/>
          <w:color w:val="auto"/>
        </w:rPr>
      </w:pPr>
    </w:p>
    <w:p>
      <w:pPr>
        <w:ind w:right="40" w:firstLine="405"/>
        <w:spacing w:after="0" w:line="271"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77"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and our independent registered public accounting firm is required to formally attest to the effectiveness of our internal control over financial reporting. It is possible that in the future our independent registered public accounting firm may issue a report that is adverse in the event it is not satisfied with the level at which our controls are documented, designed or operating. Our remediation efforts may not enable us to avoid a material weakness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25" w:lineRule="exact"/>
        <w:rPr>
          <w:sz w:val="20"/>
          <w:szCs w:val="20"/>
          <w:color w:val="auto"/>
        </w:rPr>
      </w:pPr>
    </w:p>
    <w:p>
      <w:pPr>
        <w:ind w:right="280" w:firstLine="405"/>
        <w:spacing w:after="0" w:line="29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7" w:lineRule="exact"/>
        <w:rPr>
          <w:sz w:val="20"/>
          <w:szCs w:val="20"/>
          <w:color w:val="auto"/>
        </w:rPr>
      </w:pPr>
    </w:p>
    <w:p>
      <w:pPr>
        <w:ind w:left="660" w:right="7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8"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25" w:lineRule="exact"/>
        <w:rPr>
          <w:sz w:val="20"/>
          <w:szCs w:val="20"/>
          <w:color w:val="auto"/>
        </w:rPr>
      </w:pPr>
    </w:p>
    <w:p>
      <w:pPr>
        <w:jc w:val="both"/>
        <w:ind w:right="40" w:firstLine="405"/>
        <w:spacing w:after="0" w:line="271"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1"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31F20"/>
        </w:rPr>
        <w:t>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63"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231F20"/>
        </w:rPr>
        <w:t>As of June 30, 2016, our executive officers, directors and holders of 10% or more of our outstanding common stock beneficially own, in the aggregate, approximately 25%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2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June 30, 2016, we had approximately 35.4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17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231F20"/>
        </w:rPr>
        <w:t>In addition, as of June 30, 2016 we had outstanding options to purchase approximately 8.0 million shares of common stock that, if exercised, will result in these additional shares becoming available for sale. As of June 30, 2016, we had an aggregate of 1.6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6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9" w:lineRule="exact"/>
        <w:rPr>
          <w:sz w:val="20"/>
          <w:szCs w:val="20"/>
          <w:color w:val="auto"/>
        </w:rPr>
      </w:pPr>
    </w:p>
    <w:p>
      <w:pPr>
        <w:ind w:right="100" w:firstLine="405"/>
        <w:spacing w:after="0" w:line="29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37" w:lineRule="exact"/>
        <w:rPr>
          <w:sz w:val="20"/>
          <w:szCs w:val="20"/>
          <w:color w:val="auto"/>
        </w:rPr>
      </w:pPr>
    </w:p>
    <w:p>
      <w:pPr>
        <w:ind w:left="660" w:right="60" w:hanging="328"/>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295"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68" w:lineRule="exact"/>
        <w:rPr>
          <w:sz w:val="20"/>
          <w:szCs w:val="20"/>
          <w:color w:val="auto"/>
        </w:rPr>
      </w:pPr>
    </w:p>
    <w:p>
      <w:pPr>
        <w:ind w:left="80" w:firstLine="432"/>
        <w:spacing w:after="0" w:line="29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August 4, 2016.</w:t>
      </w:r>
    </w:p>
    <w:p>
      <w:pPr>
        <w:spacing w:after="0" w:line="89"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5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Executive Officer</w:t>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7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27305</wp:posOffset>
            </wp:positionV>
            <wp:extent cx="23583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1"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1820" w:type="dxa"/>
            <w:vAlign w:val="bottom"/>
            <w:gridSpan w:val="4"/>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9460" w:type="dxa"/>
            <w:vAlign w:val="bottom"/>
          </w:tcPr>
          <w:p>
            <w:pPr>
              <w:spacing w:after="0"/>
              <w:rPr>
                <w:sz w:val="16"/>
                <w:szCs w:val="16"/>
                <w:color w:val="auto"/>
              </w:rPr>
            </w:pPr>
          </w:p>
        </w:tc>
      </w:tr>
      <w:tr>
        <w:trPr>
          <w:trHeight w:val="478"/>
        </w:trPr>
        <w:tc>
          <w:tcPr>
            <w:tcW w:w="3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3240"/>
              <w:spacing w:after="0"/>
              <w:rPr>
                <w:sz w:val="20"/>
                <w:szCs w:val="20"/>
                <w:color w:val="auto"/>
              </w:rPr>
            </w:pPr>
            <w:r>
              <w:rPr>
                <w:rFonts w:ascii="Arial" w:cs="Arial" w:eastAsia="Arial" w:hAnsi="Arial"/>
                <w:sz w:val="18"/>
                <w:szCs w:val="18"/>
                <w:b w:val="1"/>
                <w:bCs w:val="1"/>
                <w:color w:val="auto"/>
              </w:rPr>
              <w:t>EXHIBIT INDEX</w:t>
            </w:r>
          </w:p>
        </w:tc>
      </w:tr>
      <w:tr>
        <w:trPr>
          <w:trHeight w:val="442"/>
        </w:trPr>
        <w:tc>
          <w:tcPr>
            <w:tcW w:w="1820" w:type="dxa"/>
            <w:vAlign w:val="bottom"/>
            <w:gridSpan w:val="4"/>
          </w:tcPr>
          <w:p>
            <w:pPr>
              <w:ind w:left="240"/>
              <w:spacing w:after="0"/>
              <w:rPr>
                <w:sz w:val="20"/>
                <w:szCs w:val="20"/>
                <w:color w:val="auto"/>
              </w:rPr>
            </w:pPr>
            <w:r>
              <w:rPr>
                <w:rFonts w:ascii="Arial" w:cs="Arial" w:eastAsia="Arial" w:hAnsi="Arial"/>
                <w:sz w:val="18"/>
                <w:szCs w:val="18"/>
                <w:color w:val="auto"/>
              </w:rPr>
              <w:t>Exhibit Number</w:t>
            </w:r>
          </w:p>
        </w:tc>
        <w:tc>
          <w:tcPr>
            <w:tcW w:w="94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408"/>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31F20"/>
              </w:rPr>
              <w:t>Offer Letter between Qualys and Melissa B. Fisher, dated April 15, 2016 (incorporated herein by reference to Exhibit</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10.1</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231F20"/>
              </w:rPr>
              <w:t>10.1 to the Registrant's Current Report on Form 8-K filed with the Commission on May 2, 2016).</w:t>
            </w:r>
          </w:p>
        </w:tc>
      </w:tr>
      <w:tr>
        <w:trPr>
          <w:trHeight w:val="41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231F20"/>
              </w:rPr>
              <w:t>Qualys, Inc. Executive Performance Bonus Plan (incorporated herein by reference to Appendix A to the Registrant's</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10.2</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231F20"/>
              </w:rPr>
              <w:t>Definitive Proxy on Schedule 14A filed with the Commission on April 25, 2016).</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w w:val="91"/>
              </w:rPr>
              <w:t>10.3</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231F20"/>
              </w:rPr>
              <w:t>Qualys, Inc. 2016 Corporate Bonus Plan, as amended</w:t>
            </w:r>
          </w:p>
        </w:tc>
      </w:tr>
      <w:tr>
        <w:trPr>
          <w:trHeight w:val="41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231F20"/>
              </w:rPr>
              <w:t>1934, as adopted pursuant to Section 302 of The Sarbanes-Oxley Act of 2002.</w:t>
            </w:r>
          </w:p>
        </w:tc>
      </w:tr>
      <w:tr>
        <w:trPr>
          <w:trHeight w:val="41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231F20"/>
              </w:rPr>
              <w:t>1934, as adopted pursuant to Section 302 of The Sarbanes-Oxley Act of 2002.</w:t>
            </w:r>
          </w:p>
        </w:tc>
      </w:tr>
      <w:tr>
        <w:trPr>
          <w:trHeight w:val="41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231F20"/>
              </w:rPr>
              <w:t>1934 and 18 U.S.C. Section 1350 as adopted pursuant to Section 906 of The Sarbanes-Oxley Act of 2002.</w:t>
            </w:r>
          </w:p>
        </w:tc>
      </w:tr>
      <w:tr>
        <w:trPr>
          <w:trHeight w:val="459"/>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60" w:type="dxa"/>
            <w:vAlign w:val="bottom"/>
          </w:tcPr>
          <w:p>
            <w:pPr>
              <w:ind w:left="340"/>
              <w:spacing w:after="0"/>
              <w:rPr>
                <w:sz w:val="20"/>
                <w:szCs w:val="20"/>
                <w:color w:val="auto"/>
              </w:rPr>
            </w:pPr>
            <w:r>
              <w:rPr>
                <w:rFonts w:ascii="Arial" w:cs="Arial" w:eastAsia="Arial" w:hAnsi="Arial"/>
                <w:sz w:val="18"/>
                <w:szCs w:val="18"/>
                <w:color w:val="auto"/>
              </w:rPr>
              <w:t>1934 and 18 U.S.C. Section 1350 as adopted pursuant to Section 906 of The 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440" w:type="dxa"/>
            <w:vAlign w:val="bottom"/>
            <w:gridSpan w:val="3"/>
          </w:tcPr>
          <w:p>
            <w:pPr>
              <w:spacing w:after="0"/>
              <w:rPr>
                <w:sz w:val="20"/>
                <w:szCs w:val="20"/>
                <w:color w:val="auto"/>
              </w:rPr>
            </w:pPr>
            <w:r>
              <w:rPr>
                <w:rFonts w:ascii="Arial" w:cs="Arial" w:eastAsia="Arial" w:hAnsi="Arial"/>
                <w:sz w:val="18"/>
                <w:szCs w:val="18"/>
                <w:color w:val="auto"/>
              </w:rPr>
              <w:t>INS</w:t>
            </w:r>
          </w:p>
        </w:tc>
        <w:tc>
          <w:tcPr>
            <w:tcW w:w="9460" w:type="dxa"/>
            <w:vAlign w:val="bottom"/>
          </w:tcPr>
          <w:p>
            <w:pPr>
              <w:ind w:left="20"/>
              <w:spacing w:after="0"/>
              <w:rPr>
                <w:sz w:val="20"/>
                <w:szCs w:val="20"/>
                <w:color w:val="auto"/>
              </w:rPr>
            </w:pPr>
            <w:r>
              <w:rPr>
                <w:rFonts w:ascii="Arial" w:cs="Arial" w:eastAsia="Arial" w:hAnsi="Arial"/>
                <w:sz w:val="18"/>
                <w:szCs w:val="18"/>
                <w:color w:val="231F20"/>
              </w:rPr>
              <w:t>XBRL Instance Document</w:t>
            </w:r>
          </w:p>
        </w:tc>
      </w:tr>
      <w:tr>
        <w:trPr>
          <w:trHeight w:val="500"/>
        </w:trPr>
        <w:tc>
          <w:tcPr>
            <w:tcW w:w="1820" w:type="dxa"/>
            <w:vAlign w:val="bottom"/>
            <w:gridSpan w:val="4"/>
          </w:tcPr>
          <w:p>
            <w:pPr>
              <w:ind w:left="40"/>
              <w:spacing w:after="0"/>
              <w:rPr>
                <w:sz w:val="20"/>
                <w:szCs w:val="20"/>
                <w:color w:val="auto"/>
              </w:rPr>
            </w:pPr>
            <w:r>
              <w:rPr>
                <w:rFonts w:ascii="Arial" w:cs="Arial" w:eastAsia="Arial" w:hAnsi="Arial"/>
                <w:sz w:val="18"/>
                <w:szCs w:val="18"/>
                <w:color w:val="auto"/>
              </w:rPr>
              <w:t>101 SCH</w:t>
            </w:r>
          </w:p>
        </w:tc>
        <w:tc>
          <w:tcPr>
            <w:tcW w:w="9460" w:type="dxa"/>
            <w:vAlign w:val="bottom"/>
          </w:tcPr>
          <w:p>
            <w:pPr>
              <w:ind w:left="2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440" w:type="dxa"/>
            <w:vAlign w:val="bottom"/>
            <w:gridSpan w:val="3"/>
          </w:tcPr>
          <w:p>
            <w:pPr>
              <w:spacing w:after="0"/>
              <w:rPr>
                <w:sz w:val="20"/>
                <w:szCs w:val="20"/>
                <w:color w:val="auto"/>
              </w:rPr>
            </w:pPr>
            <w:r>
              <w:rPr>
                <w:rFonts w:ascii="Arial" w:cs="Arial" w:eastAsia="Arial" w:hAnsi="Arial"/>
                <w:sz w:val="18"/>
                <w:szCs w:val="18"/>
                <w:color w:val="auto"/>
              </w:rPr>
              <w:t>CAL</w:t>
            </w:r>
          </w:p>
        </w:tc>
        <w:tc>
          <w:tcPr>
            <w:tcW w:w="9460" w:type="dxa"/>
            <w:vAlign w:val="bottom"/>
          </w:tcPr>
          <w:p>
            <w:pPr>
              <w:ind w:left="2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440" w:type="dxa"/>
            <w:vAlign w:val="bottom"/>
            <w:gridSpan w:val="3"/>
          </w:tcPr>
          <w:p>
            <w:pPr>
              <w:spacing w:after="0"/>
              <w:rPr>
                <w:sz w:val="20"/>
                <w:szCs w:val="20"/>
                <w:color w:val="auto"/>
              </w:rPr>
            </w:pPr>
            <w:r>
              <w:rPr>
                <w:rFonts w:ascii="Arial" w:cs="Arial" w:eastAsia="Arial" w:hAnsi="Arial"/>
                <w:sz w:val="18"/>
                <w:szCs w:val="18"/>
                <w:color w:val="auto"/>
              </w:rPr>
              <w:t>DEF</w:t>
            </w:r>
          </w:p>
        </w:tc>
        <w:tc>
          <w:tcPr>
            <w:tcW w:w="9460" w:type="dxa"/>
            <w:vAlign w:val="bottom"/>
          </w:tcPr>
          <w:p>
            <w:pPr>
              <w:ind w:left="2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440" w:type="dxa"/>
            <w:vAlign w:val="bottom"/>
            <w:gridSpan w:val="3"/>
          </w:tcPr>
          <w:p>
            <w:pPr>
              <w:spacing w:after="0"/>
              <w:rPr>
                <w:sz w:val="20"/>
                <w:szCs w:val="20"/>
                <w:color w:val="auto"/>
              </w:rPr>
            </w:pPr>
            <w:r>
              <w:rPr>
                <w:rFonts w:ascii="Arial" w:cs="Arial" w:eastAsia="Arial" w:hAnsi="Arial"/>
                <w:sz w:val="18"/>
                <w:szCs w:val="18"/>
                <w:color w:val="auto"/>
              </w:rPr>
              <w:t>LAB</w:t>
            </w:r>
          </w:p>
        </w:tc>
        <w:tc>
          <w:tcPr>
            <w:tcW w:w="9460" w:type="dxa"/>
            <w:vAlign w:val="bottom"/>
          </w:tcPr>
          <w:p>
            <w:pPr>
              <w:ind w:left="2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440" w:type="dxa"/>
            <w:vAlign w:val="bottom"/>
            <w:gridSpan w:val="3"/>
          </w:tcPr>
          <w:p>
            <w:pPr>
              <w:spacing w:after="0"/>
              <w:rPr>
                <w:sz w:val="20"/>
                <w:szCs w:val="20"/>
                <w:color w:val="auto"/>
              </w:rPr>
            </w:pPr>
            <w:r>
              <w:rPr>
                <w:rFonts w:ascii="Arial" w:cs="Arial" w:eastAsia="Arial" w:hAnsi="Arial"/>
                <w:sz w:val="18"/>
                <w:szCs w:val="18"/>
                <w:color w:val="auto"/>
              </w:rPr>
              <w:t>PRE</w:t>
            </w:r>
          </w:p>
        </w:tc>
        <w:tc>
          <w:tcPr>
            <w:tcW w:w="9460" w:type="dxa"/>
            <w:vAlign w:val="bottom"/>
          </w:tcPr>
          <w:p>
            <w:pPr>
              <w:ind w:left="2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59" w:lineRule="exact"/>
        <w:rPr>
          <w:sz w:val="20"/>
          <w:szCs w:val="20"/>
          <w:color w:val="auto"/>
        </w:rPr>
      </w:pPr>
    </w:p>
    <w:p>
      <w:pPr>
        <w:ind w:left="500" w:right="20" w:hanging="492"/>
        <w:spacing w:after="0" w:line="264" w:lineRule="auto"/>
        <w:tabs>
          <w:tab w:leader="none" w:pos="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80"/>
          </w:cols>
          <w:pgMar w:left="240" w:top="118" w:right="37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3433445</wp:posOffset>
            </wp:positionH>
            <wp:positionV relativeFrom="page">
              <wp:posOffset>517525</wp:posOffset>
            </wp:positionV>
            <wp:extent cx="702945"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294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2016 CORPORATE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56"/>
        <w:spacing w:after="0" w:line="331" w:lineRule="auto"/>
        <w:tabs>
          <w:tab w:leader="none" w:pos="1462"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color w:val="auto"/>
        </w:rPr>
        <w:t>. The purpose of this 2016 Corporate Bonus Plan (the “Plan”) is to motivate and encourage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of Qualys (the “Company”) to achieve its stated goals and to assist the Company in attracting, motivating and retaining employees on a competitive basis.</w:t>
      </w:r>
    </w:p>
    <w:p>
      <w:pPr>
        <w:spacing w:after="0" w:line="155" w:lineRule="exact"/>
        <w:rPr>
          <w:rFonts w:ascii="Arial" w:cs="Arial" w:eastAsia="Arial" w:hAnsi="Arial"/>
          <w:sz w:val="20"/>
          <w:szCs w:val="20"/>
          <w:b w:val="1"/>
          <w:bCs w:val="1"/>
          <w:color w:val="auto"/>
        </w:rPr>
      </w:pPr>
    </w:p>
    <w:p>
      <w:pPr>
        <w:ind w:left="1460" w:hanging="804"/>
        <w:spacing w:after="0"/>
        <w:tabs>
          <w:tab w:leader="none" w:pos="14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w:t>
      </w:r>
    </w:p>
    <w:p>
      <w:pPr>
        <w:spacing w:after="0" w:line="271" w:lineRule="exact"/>
        <w:rPr>
          <w:rFonts w:ascii="Arial" w:cs="Arial" w:eastAsia="Arial" w:hAnsi="Arial"/>
          <w:sz w:val="20"/>
          <w:szCs w:val="20"/>
          <w:b w:val="1"/>
          <w:bCs w:val="1"/>
          <w:color w:val="auto"/>
        </w:rPr>
      </w:pPr>
    </w:p>
    <w:p>
      <w:pPr>
        <w:jc w:val="both"/>
        <w:ind w:right="200" w:firstLine="1305"/>
        <w:spacing w:after="0" w:line="302" w:lineRule="auto"/>
        <w:tabs>
          <w:tab w:leader="none" w:pos="1748" w:val="left"/>
        </w:tabs>
        <w:numPr>
          <w:ilvl w:val="1"/>
          <w:numId w:val="17"/>
        </w:numPr>
        <w:rPr>
          <w:rFonts w:ascii="Arial" w:cs="Arial" w:eastAsia="Arial" w:hAnsi="Arial"/>
          <w:sz w:val="20"/>
          <w:szCs w:val="20"/>
          <w:color w:val="auto"/>
        </w:rPr>
      </w:pPr>
      <w:r>
        <w:rPr>
          <w:rFonts w:ascii="Arial" w:cs="Arial" w:eastAsia="Arial" w:hAnsi="Arial"/>
          <w:sz w:val="20"/>
          <w:szCs w:val="20"/>
          <w:color w:val="auto"/>
        </w:rPr>
        <w:t>An officer or employee of the Company is designated as a participant in the Plan (“Participant”) and shall be eligible to participate in the Plan if he or she is a regular full-time or regular part-time employee (working greater than 20 hours a week) and he or she is not already participating in a separate Compensation Plan or MBO plan.</w:t>
      </w:r>
    </w:p>
    <w:p>
      <w:pPr>
        <w:spacing w:after="0" w:line="129" w:lineRule="exact"/>
        <w:rPr>
          <w:rFonts w:ascii="Arial" w:cs="Arial" w:eastAsia="Arial" w:hAnsi="Arial"/>
          <w:sz w:val="20"/>
          <w:szCs w:val="20"/>
          <w:color w:val="auto"/>
        </w:rPr>
      </w:pPr>
    </w:p>
    <w:p>
      <w:pPr>
        <w:ind w:right="120" w:firstLine="1305"/>
        <w:spacing w:after="0" w:line="282" w:lineRule="auto"/>
        <w:tabs>
          <w:tab w:leader="none" w:pos="1758"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New Hires</w:t>
      </w:r>
      <w:r>
        <w:rPr>
          <w:rFonts w:ascii="Arial" w:cs="Arial" w:eastAsia="Arial" w:hAnsi="Arial"/>
          <w:sz w:val="20"/>
          <w:szCs w:val="20"/>
          <w:color w:val="auto"/>
        </w:rPr>
        <w:t>. New employees hired in the first or second month of a quarter will be eligible to participate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for that quarter, such participation will be prorated based on the number of days employed in the quarter.</w:t>
      </w:r>
    </w:p>
    <w:p>
      <w:pPr>
        <w:spacing w:after="0" w:line="215" w:lineRule="exact"/>
        <w:rPr>
          <w:rFonts w:ascii="Arial" w:cs="Arial" w:eastAsia="Arial" w:hAnsi="Arial"/>
          <w:sz w:val="20"/>
          <w:szCs w:val="20"/>
          <w:color w:val="auto"/>
        </w:rPr>
      </w:pPr>
    </w:p>
    <w:p>
      <w:pPr>
        <w:ind w:left="1760" w:hanging="455"/>
        <w:spacing w:after="0"/>
        <w:tabs>
          <w:tab w:leader="none" w:pos="1760" w:val="left"/>
        </w:tabs>
        <w:numPr>
          <w:ilvl w:val="1"/>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Termination of Employment. </w:t>
      </w:r>
      <w:r>
        <w:rPr>
          <w:rFonts w:ascii="Arial" w:cs="Arial" w:eastAsia="Arial" w:hAnsi="Arial"/>
          <w:sz w:val="19"/>
          <w:szCs w:val="19"/>
          <w:color w:val="auto"/>
        </w:rPr>
        <w:t>To be eligible for the bonus, the employee must be employed as of the last day</w:t>
      </w:r>
    </w:p>
    <w:p>
      <w:pPr>
        <w:spacing w:after="0" w:line="6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of the quarter.</w:t>
      </w:r>
    </w:p>
    <w:p>
      <w:pPr>
        <w:spacing w:after="0" w:line="245" w:lineRule="exact"/>
        <w:rPr>
          <w:rFonts w:ascii="Arial" w:cs="Arial" w:eastAsia="Arial" w:hAnsi="Arial"/>
          <w:sz w:val="19"/>
          <w:szCs w:val="19"/>
          <w:color w:val="auto"/>
        </w:rPr>
      </w:pPr>
    </w:p>
    <w:p>
      <w:pPr>
        <w:ind w:right="300" w:firstLine="1305"/>
        <w:spacing w:after="0" w:line="303" w:lineRule="auto"/>
        <w:tabs>
          <w:tab w:leader="none" w:pos="1758"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Absence during Performance Period. </w:t>
      </w:r>
      <w:r>
        <w:rPr>
          <w:rFonts w:ascii="Arial" w:cs="Arial" w:eastAsia="Arial" w:hAnsi="Arial"/>
          <w:sz w:val="20"/>
          <w:szCs w:val="20"/>
          <w:color w:val="auto"/>
        </w:rPr>
        <w:t>If a Participant is absent for a period of more than one-half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scheduled workdays during a quarter, for any reason, the Participant’s bonus payment will be prorated based on the number of days the Participant actually worked compared to the total number of scheduled work days during that quarter.</w:t>
      </w:r>
    </w:p>
    <w:p>
      <w:pPr>
        <w:spacing w:after="0" w:line="168" w:lineRule="exact"/>
        <w:rPr>
          <w:rFonts w:ascii="Arial" w:cs="Arial" w:eastAsia="Arial" w:hAnsi="Arial"/>
          <w:sz w:val="20"/>
          <w:szCs w:val="20"/>
          <w:color w:val="auto"/>
        </w:rPr>
      </w:pPr>
    </w:p>
    <w:p>
      <w:pPr>
        <w:ind w:left="1460" w:hanging="804"/>
        <w:spacing w:after="0"/>
        <w:tabs>
          <w:tab w:leader="none" w:pos="14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Bonus Criteria</w:t>
      </w:r>
    </w:p>
    <w:p>
      <w:pPr>
        <w:spacing w:after="0" w:line="269" w:lineRule="exact"/>
        <w:rPr>
          <w:rFonts w:ascii="Arial" w:cs="Arial" w:eastAsia="Arial" w:hAnsi="Arial"/>
          <w:sz w:val="20"/>
          <w:szCs w:val="20"/>
          <w:b w:val="1"/>
          <w:bCs w:val="1"/>
          <w:color w:val="auto"/>
        </w:rPr>
      </w:pPr>
    </w:p>
    <w:p>
      <w:pPr>
        <w:ind w:firstLine="1305"/>
        <w:spacing w:after="0" w:line="324" w:lineRule="auto"/>
        <w:tabs>
          <w:tab w:leader="none" w:pos="1758"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Bonus Period. </w:t>
      </w:r>
      <w:r>
        <w:rPr>
          <w:rFonts w:ascii="Arial" w:cs="Arial" w:eastAsia="Arial" w:hAnsi="Arial"/>
          <w:sz w:val="20"/>
          <w:szCs w:val="20"/>
          <w:color w:val="auto"/>
        </w:rPr>
        <w:t>The Bonus Plan is effective from January 1, 2016 through December 31, 2016. Each calendar</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is a separate bonus period.</w:t>
      </w:r>
    </w:p>
    <w:p>
      <w:pPr>
        <w:spacing w:after="0" w:line="351" w:lineRule="exact"/>
        <w:rPr>
          <w:rFonts w:ascii="Arial" w:cs="Arial" w:eastAsia="Arial" w:hAnsi="Arial"/>
          <w:sz w:val="20"/>
          <w:szCs w:val="20"/>
          <w:color w:val="auto"/>
        </w:rPr>
      </w:pPr>
    </w:p>
    <w:p>
      <w:pPr>
        <w:jc w:val="both"/>
        <w:ind w:right="40" w:firstLine="1305"/>
        <w:spacing w:after="0" w:line="303" w:lineRule="auto"/>
        <w:tabs>
          <w:tab w:leader="none" w:pos="1813"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Bonus Level. </w:t>
      </w:r>
      <w:r>
        <w:rPr>
          <w:rFonts w:ascii="Arial" w:cs="Arial" w:eastAsia="Arial" w:hAnsi="Arial"/>
          <w:sz w:val="20"/>
          <w:szCs w:val="20"/>
          <w:color w:val="auto"/>
        </w:rPr>
        <w:t>A Participant’s level of participation in the Plan is set based on their grade level as determined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Human Resources Department and is applied to the Participant’s base salary as of the last day of that quarter to determine the bonus amount.</w:t>
      </w:r>
    </w:p>
    <w:p>
      <w:pPr>
        <w:spacing w:after="0" w:line="317" w:lineRule="exact"/>
        <w:rPr>
          <w:rFonts w:ascii="Arial" w:cs="Arial" w:eastAsia="Arial" w:hAnsi="Arial"/>
          <w:sz w:val="20"/>
          <w:szCs w:val="20"/>
          <w:color w:val="auto"/>
        </w:rPr>
      </w:pPr>
    </w:p>
    <w:p>
      <w:pPr>
        <w:jc w:val="both"/>
        <w:ind w:right="200" w:firstLine="1305"/>
        <w:spacing w:after="0" w:line="261" w:lineRule="auto"/>
        <w:tabs>
          <w:tab w:leader="none" w:pos="1747" w:val="left"/>
        </w:tabs>
        <w:numPr>
          <w:ilvl w:val="1"/>
          <w:numId w:val="17"/>
        </w:numPr>
        <w:rPr>
          <w:rFonts w:ascii="Arial" w:cs="Arial" w:eastAsia="Arial" w:hAnsi="Arial"/>
          <w:sz w:val="20"/>
          <w:szCs w:val="20"/>
          <w:color w:val="auto"/>
        </w:rPr>
      </w:pPr>
      <w:r>
        <w:rPr>
          <w:rFonts w:ascii="Arial" w:cs="Arial" w:eastAsia="Arial" w:hAnsi="Arial"/>
          <w:sz w:val="20"/>
          <w:szCs w:val="20"/>
          <w:b w:val="1"/>
          <w:bCs w:val="1"/>
          <w:color w:val="auto"/>
        </w:rPr>
        <w:t xml:space="preserve">Objective Criteria: </w:t>
      </w:r>
      <w:r>
        <w:rPr>
          <w:rFonts w:ascii="Arial" w:cs="Arial" w:eastAsia="Arial" w:hAnsi="Arial"/>
          <w:sz w:val="20"/>
          <w:szCs w:val="20"/>
          <w:color w:val="auto"/>
        </w:rPr>
        <w:t>For the first quarter, the Plan payments are based on the single goal of ASV Growth (as</w:t>
      </w:r>
      <w:r>
        <w:rPr>
          <w:rFonts w:ascii="Arial" w:cs="Arial" w:eastAsia="Arial" w:hAnsi="Arial"/>
          <w:sz w:val="20"/>
          <w:szCs w:val="20"/>
          <w:b w:val="1"/>
          <w:bCs w:val="1"/>
          <w:color w:val="auto"/>
        </w:rPr>
        <w:t xml:space="preserve"> </w:t>
      </w:r>
      <w:r>
        <w:rPr>
          <w:rFonts w:ascii="Arial" w:cs="Arial" w:eastAsia="Arial" w:hAnsi="Arial"/>
          <w:sz w:val="20"/>
          <w:szCs w:val="20"/>
          <w:color w:val="auto"/>
        </w:rPr>
        <w:t>defined below). For the second, third and fourth quarter, the Plan payments will be based on ASV Growth, Revenue Growth (as defined below) and Non-GAAP EPS (as defined below).</w:t>
      </w:r>
    </w:p>
    <w:p>
      <w:pPr>
        <w:spacing w:after="0" w:line="200" w:lineRule="exact"/>
        <w:rPr>
          <w:sz w:val="20"/>
          <w:szCs w:val="20"/>
          <w:color w:val="auto"/>
        </w:rPr>
      </w:pPr>
    </w:p>
    <w:p>
      <w:pPr>
        <w:spacing w:after="0" w:line="234"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7"/>
          <w:szCs w:val="17"/>
          <w:color w:val="auto"/>
        </w:rPr>
        <w:t>Page 1 of 3</w:t>
        <w:tab/>
        <w:t>Effective 07/01/2016, amended July 2016</w:t>
      </w:r>
    </w:p>
    <w:p>
      <w:pPr>
        <w:sectPr>
          <w:pgSz w:w="11900" w:h="16838" w:orient="portrait"/>
          <w:cols w:equalWidth="0" w:num="1">
            <w:col w:w="11380"/>
          </w:cols>
          <w:pgMar w:left="240" w:top="1440" w:right="279" w:bottom="1440" w:gutter="0" w:footer="0" w:header="0"/>
        </w:sectPr>
      </w:pPr>
    </w:p>
    <w:bookmarkStart w:id="61" w:name="page62"/>
    <w:bookmarkEnd w:id="61"/>
    <w:p>
      <w:pPr>
        <w:ind w:right="200" w:firstLine="1953"/>
        <w:spacing w:after="0" w:line="271" w:lineRule="auto"/>
        <w:tabs>
          <w:tab w:leader="none" w:pos="2467" w:val="left"/>
        </w:tabs>
        <w:numPr>
          <w:ilvl w:val="2"/>
          <w:numId w:val="18"/>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ASV Growth</w:t>
      </w:r>
      <w:r>
        <w:rPr>
          <w:rFonts w:ascii="Arial" w:cs="Arial" w:eastAsia="Arial" w:hAnsi="Arial"/>
          <w:sz w:val="20"/>
          <w:szCs w:val="20"/>
          <w:color w:val="auto"/>
        </w:rPr>
        <w:t>. The stated goal is the growth in company-wide bookings as represented by Annual</w:t>
      </w:r>
      <w:r>
        <w:rPr>
          <w:rFonts w:ascii="Arial" w:cs="Arial" w:eastAsia="Arial" w:hAnsi="Arial"/>
          <w:sz w:val="20"/>
          <w:szCs w:val="20"/>
          <w:b w:val="1"/>
          <w:bCs w:val="1"/>
          <w:color w:val="auto"/>
        </w:rPr>
        <w:t xml:space="preserve"> </w:t>
      </w:r>
      <w:r>
        <w:rPr>
          <w:rFonts w:ascii="Arial" w:cs="Arial" w:eastAsia="Arial" w:hAnsi="Arial"/>
          <w:sz w:val="20"/>
          <w:szCs w:val="20"/>
          <w:color w:val="auto"/>
        </w:rPr>
        <w:t>Subscription Value (“ASV”) for the current quarter over the same quarter of the prior year. ASV is the sum of one year’s worth of subscribed revenues to Qualys for all new, renewal and upsell subscriptions contracted by customers and channel partners in each quarter. ASV is determined by policies and practices administered by the Controller and the final quarterly ASV amount is approved by the CFO.</w:t>
      </w:r>
    </w:p>
    <w:p>
      <w:pPr>
        <w:spacing w:after="0" w:line="201" w:lineRule="exact"/>
        <w:rPr>
          <w:rFonts w:ascii="Times New Roman" w:cs="Times New Roman" w:eastAsia="Times New Roman" w:hAnsi="Times New Roman"/>
          <w:sz w:val="22"/>
          <w:szCs w:val="22"/>
          <w:b w:val="1"/>
          <w:bCs w:val="1"/>
          <w:color w:val="auto"/>
        </w:rPr>
      </w:pPr>
    </w:p>
    <w:p>
      <w:pPr>
        <w:ind w:right="120" w:firstLine="1953"/>
        <w:spacing w:after="0" w:line="275" w:lineRule="auto"/>
        <w:tabs>
          <w:tab w:leader="none" w:pos="2251" w:val="left"/>
        </w:tabs>
        <w:numPr>
          <w:ilvl w:val="2"/>
          <w:numId w:val="18"/>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Revenue Growth</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stated goal is the growth in company-wide revenue (as determined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GAAP and set forth in the Company’s quarterly and annual financial statements) for the current quarter over the same quarter of the prior year.</w:t>
      </w:r>
    </w:p>
    <w:p>
      <w:pPr>
        <w:spacing w:after="0" w:line="195" w:lineRule="exact"/>
        <w:rPr>
          <w:rFonts w:ascii="Times New Roman" w:cs="Times New Roman" w:eastAsia="Times New Roman" w:hAnsi="Times New Roman"/>
          <w:sz w:val="22"/>
          <w:szCs w:val="22"/>
          <w:b w:val="1"/>
          <w:bCs w:val="1"/>
          <w:color w:val="auto"/>
        </w:rPr>
      </w:pPr>
    </w:p>
    <w:p>
      <w:pPr>
        <w:ind w:right="240" w:firstLine="1953"/>
        <w:spacing w:after="0" w:line="275" w:lineRule="auto"/>
        <w:tabs>
          <w:tab w:leader="none" w:pos="2251" w:val="left"/>
        </w:tabs>
        <w:numPr>
          <w:ilvl w:val="2"/>
          <w:numId w:val="18"/>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color w:val="auto"/>
        </w:rPr>
        <w:t>Non-GAAP EPS</w:t>
      </w:r>
      <w:r>
        <w:rPr>
          <w:rFonts w:ascii="Arial" w:cs="Arial" w:eastAsia="Arial" w:hAnsi="Arial"/>
          <w:sz w:val="20"/>
          <w:szCs w:val="20"/>
          <w:color w:val="auto"/>
        </w:rPr>
        <w:t>. The stated goal is Non-GAAP earnings per diluted share. Non-GAAP EPS is GAAP</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net income less stock-based compensation expense and non-recurring charges under this Plan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weighted average shares (diluted) for the applicable quarter.</w:t>
      </w:r>
    </w:p>
    <w:p>
      <w:pPr>
        <w:spacing w:after="0" w:line="168" w:lineRule="exact"/>
        <w:rPr>
          <w:rFonts w:ascii="Times New Roman" w:cs="Times New Roman" w:eastAsia="Times New Roman" w:hAnsi="Times New Roman"/>
          <w:sz w:val="22"/>
          <w:szCs w:val="22"/>
          <w:b w:val="1"/>
          <w:bCs w:val="1"/>
          <w:color w:val="auto"/>
        </w:rPr>
      </w:pPr>
    </w:p>
    <w:p>
      <w:pPr>
        <w:jc w:val="both"/>
        <w:ind w:right="220" w:firstLine="1305"/>
        <w:spacing w:after="0" w:line="253" w:lineRule="auto"/>
        <w:tabs>
          <w:tab w:leader="none" w:pos="1758" w:val="left"/>
        </w:tabs>
        <w:numPr>
          <w:ilvl w:val="1"/>
          <w:numId w:val="19"/>
        </w:numPr>
        <w:rPr>
          <w:rFonts w:ascii="Arial" w:cs="Arial" w:eastAsia="Arial" w:hAnsi="Arial"/>
          <w:sz w:val="20"/>
          <w:szCs w:val="20"/>
          <w:color w:val="auto"/>
        </w:rPr>
      </w:pPr>
      <w:r>
        <w:rPr>
          <w:rFonts w:ascii="Arial" w:cs="Arial" w:eastAsia="Arial" w:hAnsi="Arial"/>
          <w:sz w:val="20"/>
          <w:szCs w:val="20"/>
          <w:b w:val="1"/>
          <w:bCs w:val="1"/>
          <w:color w:val="auto"/>
        </w:rPr>
        <w:t>Payout Calculation</w:t>
      </w:r>
      <w:r>
        <w:rPr>
          <w:rFonts w:ascii="Arial" w:cs="Arial" w:eastAsia="Arial" w:hAnsi="Arial"/>
          <w:sz w:val="20"/>
          <w:szCs w:val="20"/>
          <w:color w:val="auto"/>
        </w:rPr>
        <w:t>. A Participant’s bonus amount will be equal to the aggregate for each of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objective goals as follows: the payment percentage described below </w:t>
      </w:r>
      <w:r>
        <w:rPr>
          <w:rFonts w:ascii="Arial" w:cs="Arial" w:eastAsia="Arial" w:hAnsi="Arial"/>
          <w:sz w:val="20"/>
          <w:szCs w:val="20"/>
          <w:i w:val="1"/>
          <w:iCs w:val="1"/>
          <w:color w:val="auto"/>
        </w:rPr>
        <w:t>multiplied by</w:t>
      </w:r>
      <w:r>
        <w:rPr>
          <w:rFonts w:ascii="Arial" w:cs="Arial" w:eastAsia="Arial" w:hAnsi="Arial"/>
          <w:sz w:val="20"/>
          <w:szCs w:val="20"/>
          <w:color w:val="auto"/>
        </w:rPr>
        <w:t xml:space="preserve"> weighting percentage for the applicable goal. For the first quarter, ASV Growth was the sole goal and had a 100% weighting. For the second, third and fourth quarter, ASV Growth, Revenue Growth and Non-GAAP EPS shall be the 3 goals and shall be equally weighted.</w:t>
      </w:r>
    </w:p>
    <w:p>
      <w:pPr>
        <w:spacing w:after="0" w:line="191" w:lineRule="exact"/>
        <w:rPr>
          <w:rFonts w:ascii="Arial" w:cs="Arial" w:eastAsia="Arial" w:hAnsi="Arial"/>
          <w:sz w:val="20"/>
          <w:szCs w:val="20"/>
          <w:color w:val="auto"/>
        </w:rPr>
      </w:pPr>
    </w:p>
    <w:p>
      <w:pPr>
        <w:ind w:left="2840" w:hanging="887"/>
        <w:spacing w:after="0"/>
        <w:tabs>
          <w:tab w:leader="none" w:pos="2840" w:val="left"/>
        </w:tabs>
        <w:numPr>
          <w:ilvl w:val="2"/>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ASV Growth. </w:t>
      </w:r>
      <w:r>
        <w:rPr>
          <w:rFonts w:ascii="Arial" w:cs="Arial" w:eastAsia="Arial" w:hAnsi="Arial"/>
          <w:sz w:val="20"/>
          <w:szCs w:val="20"/>
          <w:color w:val="auto"/>
        </w:rPr>
        <w:t>Bonus payments for ASV growth calculations are set forth in Section 1 of the</w:t>
      </w:r>
    </w:p>
    <w:p>
      <w:pPr>
        <w:spacing w:after="0" w:line="51"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Appendix.</w:t>
      </w:r>
    </w:p>
    <w:p>
      <w:pPr>
        <w:spacing w:after="0" w:line="231" w:lineRule="exact"/>
        <w:rPr>
          <w:rFonts w:ascii="Arial" w:cs="Arial" w:eastAsia="Arial" w:hAnsi="Arial"/>
          <w:sz w:val="20"/>
          <w:szCs w:val="20"/>
          <w:b w:val="1"/>
          <w:bCs w:val="1"/>
          <w:color w:val="auto"/>
        </w:rPr>
      </w:pPr>
    </w:p>
    <w:p>
      <w:pPr>
        <w:ind w:right="160" w:firstLine="1953"/>
        <w:spacing w:after="0" w:line="310" w:lineRule="auto"/>
        <w:tabs>
          <w:tab w:leader="none" w:pos="2835" w:val="left"/>
        </w:tabs>
        <w:numPr>
          <w:ilvl w:val="2"/>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Revenue Growth. </w:t>
      </w:r>
      <w:r>
        <w:rPr>
          <w:rFonts w:ascii="Arial" w:cs="Arial" w:eastAsia="Arial" w:hAnsi="Arial"/>
          <w:sz w:val="20"/>
          <w:szCs w:val="20"/>
          <w:color w:val="auto"/>
        </w:rPr>
        <w:t>The payout percentage scales based upon achievement of Revenue Growth</w:t>
      </w:r>
      <w:r>
        <w:rPr>
          <w:rFonts w:ascii="Arial" w:cs="Arial" w:eastAsia="Arial" w:hAnsi="Arial"/>
          <w:sz w:val="20"/>
          <w:szCs w:val="20"/>
          <w:b w:val="1"/>
          <w:bCs w:val="1"/>
          <w:color w:val="auto"/>
        </w:rPr>
        <w:t xml:space="preserve"> </w:t>
      </w:r>
      <w:r>
        <w:rPr>
          <w:rFonts w:ascii="Arial" w:cs="Arial" w:eastAsia="Arial" w:hAnsi="Arial"/>
          <w:sz w:val="20"/>
          <w:szCs w:val="20"/>
          <w:color w:val="auto"/>
        </w:rPr>
        <w:t>as described in Section 2 of the Appendix.</w:t>
      </w:r>
    </w:p>
    <w:p>
      <w:pPr>
        <w:spacing w:after="0" w:line="202" w:lineRule="exact"/>
        <w:rPr>
          <w:rFonts w:ascii="Arial" w:cs="Arial" w:eastAsia="Arial" w:hAnsi="Arial"/>
          <w:sz w:val="20"/>
          <w:szCs w:val="20"/>
          <w:b w:val="1"/>
          <w:bCs w:val="1"/>
          <w:color w:val="auto"/>
        </w:rPr>
      </w:pPr>
    </w:p>
    <w:p>
      <w:pPr>
        <w:ind w:right="40" w:firstLine="1953"/>
        <w:spacing w:after="0" w:line="423" w:lineRule="auto"/>
        <w:tabs>
          <w:tab w:leader="none" w:pos="2835" w:val="left"/>
        </w:tabs>
        <w:numPr>
          <w:ilvl w:val="2"/>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Non-GAAP EPS. </w:t>
      </w:r>
      <w:r>
        <w:rPr>
          <w:rFonts w:ascii="Arial" w:cs="Arial" w:eastAsia="Arial" w:hAnsi="Arial"/>
          <w:sz w:val="20"/>
          <w:szCs w:val="20"/>
          <w:color w:val="auto"/>
        </w:rPr>
        <w:t>The payout percentage scales based upon achievement of Non-GAAP EPS as</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Section 3 of the Appendix.</w:t>
      </w:r>
    </w:p>
    <w:p>
      <w:pPr>
        <w:spacing w:after="0" w:line="121" w:lineRule="exact"/>
        <w:rPr>
          <w:rFonts w:ascii="Arial" w:cs="Arial" w:eastAsia="Arial" w:hAnsi="Arial"/>
          <w:sz w:val="20"/>
          <w:szCs w:val="20"/>
          <w:b w:val="1"/>
          <w:bCs w:val="1"/>
          <w:color w:val="auto"/>
        </w:rPr>
      </w:pPr>
    </w:p>
    <w:p>
      <w:pPr>
        <w:ind w:firstLine="1305"/>
        <w:spacing w:after="0" w:line="248" w:lineRule="auto"/>
        <w:tabs>
          <w:tab w:leader="none" w:pos="1758" w:val="left"/>
        </w:tabs>
        <w:numPr>
          <w:ilvl w:val="1"/>
          <w:numId w:val="19"/>
        </w:numPr>
        <w:rPr>
          <w:rFonts w:ascii="Arial" w:cs="Arial" w:eastAsia="Arial" w:hAnsi="Arial"/>
          <w:sz w:val="20"/>
          <w:szCs w:val="20"/>
          <w:color w:val="auto"/>
        </w:rPr>
      </w:pPr>
      <w:r>
        <w:rPr>
          <w:rFonts w:ascii="Arial" w:cs="Arial" w:eastAsia="Arial" w:hAnsi="Arial"/>
          <w:sz w:val="20"/>
          <w:szCs w:val="20"/>
          <w:b w:val="1"/>
          <w:bCs w:val="1"/>
          <w:color w:val="auto"/>
        </w:rPr>
        <w:t xml:space="preserve">Bonus Payments. </w:t>
      </w:r>
      <w:r>
        <w:rPr>
          <w:rFonts w:ascii="Arial" w:cs="Arial" w:eastAsia="Arial" w:hAnsi="Arial"/>
          <w:sz w:val="20"/>
          <w:szCs w:val="20"/>
          <w:color w:val="auto"/>
        </w:rPr>
        <w:t>Bonus payments to Participants under this Plan will be made with the first payroll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month following the end of the quarter. Bonus payments are “gross” amounts, meaning that they constitute the full amount and that there will be no other increases (for example, to cover income taxes). The company will deduct from any payment under the Plan the amount of all applicable income and employment taxes, and any other amounts required by law to be withheld or deducted from such payment. None of the payments will be “benefits bearing” (i.e., the bonus amounts will not be used for purposes of determining any other company-provided benefits or compensation).</w:t>
      </w:r>
    </w:p>
    <w:p>
      <w:pPr>
        <w:spacing w:after="0" w:line="221" w:lineRule="exact"/>
        <w:rPr>
          <w:rFonts w:ascii="Arial" w:cs="Arial" w:eastAsia="Arial" w:hAnsi="Arial"/>
          <w:sz w:val="20"/>
          <w:szCs w:val="20"/>
          <w:color w:val="auto"/>
        </w:rPr>
      </w:pPr>
    </w:p>
    <w:p>
      <w:pPr>
        <w:ind w:right="60" w:firstLine="656"/>
        <w:spacing w:after="0" w:line="315" w:lineRule="auto"/>
        <w:tabs>
          <w:tab w:leader="none" w:pos="990" w:val="left"/>
        </w:tabs>
        <w:numPr>
          <w:ilvl w:val="0"/>
          <w:numId w:val="20"/>
        </w:numPr>
        <w:rPr>
          <w:rFonts w:ascii="Times New Roman" w:cs="Times New Roman" w:eastAsia="Times New Roman" w:hAnsi="Times New Roman"/>
          <w:sz w:val="22"/>
          <w:szCs w:val="22"/>
          <w:b w:val="1"/>
          <w:bCs w:val="1"/>
          <w:color w:val="auto"/>
        </w:rPr>
      </w:pPr>
      <w:r>
        <w:rPr>
          <w:rFonts w:ascii="Arial" w:cs="Arial" w:eastAsia="Arial" w:hAnsi="Arial"/>
          <w:sz w:val="20"/>
          <w:szCs w:val="20"/>
          <w:b w:val="1"/>
          <w:bCs w:val="1"/>
          <w:u w:val="single" w:color="auto"/>
          <w:color w:val="auto"/>
        </w:rPr>
        <w:t>Administration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This Plan shall be administered by the Company’s CFO (except with respect to Participants who are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Company’s executive officers, in which case the Compensation Committee of the Board of Directors will serve as the administrator), who may make and apply such rules deemed desirable or necessary to administer the Plan in the best interests of the Company. All questions of interpretation or application of the Plan may be addressed in writing to the CFO (or as applicable, the Compensation Committee), who shall review each inquiry in good faith, and each such determination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17"/>
          <w:szCs w:val="17"/>
          <w:color w:val="auto"/>
        </w:rPr>
        <w:t>Page 2 of 3</w:t>
        <w:tab/>
        <w:t>Effective 07/01/2016, amended July 2016</w:t>
      </w:r>
    </w:p>
    <w:p>
      <w:pPr>
        <w:sectPr>
          <w:pgSz w:w="11900" w:h="16838" w:orient="portrait"/>
          <w:cols w:equalWidth="0" w:num="1">
            <w:col w:w="11360"/>
          </w:cols>
          <w:pgMar w:left="240" w:top="594" w:right="29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20"/>
          <w:szCs w:val="20"/>
          <w:b w:val="1"/>
          <w:bCs w:val="1"/>
          <w:color w:val="auto"/>
        </w:rPr>
        <w:t>APPENDIX</w:t>
      </w:r>
    </w:p>
    <w:p>
      <w:pPr>
        <w:spacing w:after="0" w:line="270" w:lineRule="exact"/>
        <w:rPr>
          <w:sz w:val="20"/>
          <w:szCs w:val="20"/>
          <w:color w:val="auto"/>
        </w:rPr>
      </w:pPr>
    </w:p>
    <w:p>
      <w:pPr>
        <w:ind w:right="200" w:firstLine="332"/>
        <w:spacing w:after="0" w:line="324" w:lineRule="auto"/>
        <w:tabs>
          <w:tab w:leader="none" w:pos="813"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 xml:space="preserve">ASV Growth. </w:t>
      </w:r>
      <w:r>
        <w:rPr>
          <w:rFonts w:ascii="Arial" w:cs="Arial" w:eastAsia="Arial" w:hAnsi="Arial"/>
          <w:sz w:val="20"/>
          <w:szCs w:val="20"/>
          <w:color w:val="auto"/>
        </w:rPr>
        <w:t>ASV Growth will be rounded to the nearest 1/10 of a percentage (e.g., achievement, Target ASV Growth,</w:t>
      </w:r>
      <w:r>
        <w:rPr>
          <w:rFonts w:ascii="Arial" w:cs="Arial" w:eastAsia="Arial" w:hAnsi="Arial"/>
          <w:sz w:val="20"/>
          <w:szCs w:val="20"/>
          <w:b w:val="1"/>
          <w:bCs w:val="1"/>
          <w:color w:val="auto"/>
        </w:rPr>
        <w:t xml:space="preserve"> </w:t>
      </w:r>
      <w:r>
        <w:rPr>
          <w:rFonts w:ascii="Arial" w:cs="Arial" w:eastAsia="Arial" w:hAnsi="Arial"/>
          <w:sz w:val="20"/>
          <w:szCs w:val="20"/>
          <w:color w:val="auto"/>
        </w:rPr>
        <w:t>and % of Target ASV Growth at or above 0.05% will be rounded up to 0.1%, and below 0.05% will be rounded down to 0.0%). Target ASV Growth is defined as [***]. The payout percentage scales based upon the achievement of ASV Growth in relation to the Target ASV Growth as follows with no sliding scale of achievement between tiers:</w:t>
      </w: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ASV Growth</w:t>
            </w:r>
          </w:p>
        </w:tc>
        <w:tc>
          <w:tcPr>
            <w:tcW w:w="5700" w:type="dxa"/>
            <w:vAlign w:val="bottom"/>
            <w:tcBorders>
              <w:top w:val="single" w:sz="8" w:color="auto"/>
              <w:bottom w:val="single" w:sz="8" w:color="auto"/>
              <w:right w:val="single" w:sz="8" w:color="auto"/>
            </w:tcBorders>
          </w:tcPr>
          <w:p>
            <w:pPr>
              <w:ind w:left="1920"/>
              <w:spacing w:after="0"/>
              <w:rPr>
                <w:sz w:val="20"/>
                <w:szCs w:val="20"/>
                <w:color w:val="auto"/>
              </w:rPr>
            </w:pPr>
            <w:r>
              <w:rPr>
                <w:rFonts w:ascii="Arial" w:cs="Arial" w:eastAsia="Arial" w:hAnsi="Arial"/>
                <w:sz w:val="20"/>
                <w:szCs w:val="20"/>
                <w:color w:val="auto"/>
              </w:rPr>
              <w:t>Payment Percentage</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Less than 80%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0%</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80%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25%</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85%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50%</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90%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75%</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95%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95%</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100%</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105%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105%</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110%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110%</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115%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115%</w:t>
            </w:r>
          </w:p>
        </w:tc>
      </w:tr>
      <w:tr>
        <w:trPr>
          <w:trHeight w:val="264"/>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120% of Target ASV Growth</w:t>
            </w:r>
          </w:p>
        </w:tc>
        <w:tc>
          <w:tcPr>
            <w:tcW w:w="5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120%</w:t>
            </w:r>
          </w:p>
        </w:tc>
      </w:tr>
    </w:tbl>
    <w:p>
      <w:pPr>
        <w:spacing w:after="0" w:line="211" w:lineRule="exact"/>
        <w:rPr>
          <w:sz w:val="20"/>
          <w:szCs w:val="20"/>
          <w:color w:val="auto"/>
        </w:rPr>
      </w:pPr>
    </w:p>
    <w:p>
      <w:pPr>
        <w:ind w:right="240" w:firstLine="332"/>
        <w:spacing w:after="0" w:line="282" w:lineRule="auto"/>
        <w:tabs>
          <w:tab w:leader="none" w:pos="813"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Revenue Growth. </w:t>
      </w:r>
      <w:r>
        <w:rPr>
          <w:rFonts w:ascii="Arial" w:cs="Arial" w:eastAsia="Arial" w:hAnsi="Arial"/>
          <w:sz w:val="20"/>
          <w:szCs w:val="20"/>
          <w:color w:val="auto"/>
        </w:rPr>
        <w:t>Revenue Growth will be rounded to the nearest 1/10 of a percentage (e.g., achievement and [***] at</w:t>
      </w:r>
      <w:r>
        <w:rPr>
          <w:rFonts w:ascii="Arial" w:cs="Arial" w:eastAsia="Arial" w:hAnsi="Arial"/>
          <w:sz w:val="20"/>
          <w:szCs w:val="20"/>
          <w:b w:val="1"/>
          <w:bCs w:val="1"/>
          <w:color w:val="auto"/>
        </w:rPr>
        <w:t xml:space="preserve"> </w:t>
      </w:r>
      <w:r>
        <w:rPr>
          <w:rFonts w:ascii="Arial" w:cs="Arial" w:eastAsia="Arial" w:hAnsi="Arial"/>
          <w:sz w:val="20"/>
          <w:szCs w:val="20"/>
          <w:color w:val="auto"/>
        </w:rPr>
        <w:t>or above 0.05% will be rounded up to 0.1%, and below 0.05% will be rounded down to 0.0%). The payout percentage scales based upon achievement of Revenue Growth in relation to the implied growth based on [***] as follows with no sliding scale of achievement between tiers:</w:t>
      </w:r>
    </w:p>
    <w:p>
      <w:pPr>
        <w:spacing w:after="0" w:line="308"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566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Revenue Growth</w:t>
            </w:r>
          </w:p>
        </w:tc>
        <w:tc>
          <w:tcPr>
            <w:tcW w:w="564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Payment Percentage</w:t>
            </w:r>
          </w:p>
        </w:tc>
      </w:tr>
      <w:tr>
        <w:trPr>
          <w:trHeight w:val="264"/>
        </w:trPr>
        <w:tc>
          <w:tcPr>
            <w:tcW w:w="56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0%</w:t>
            </w:r>
          </w:p>
        </w:tc>
      </w:tr>
      <w:tr>
        <w:trPr>
          <w:trHeight w:val="264"/>
        </w:trPr>
        <w:tc>
          <w:tcPr>
            <w:tcW w:w="56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25%</w:t>
            </w:r>
          </w:p>
        </w:tc>
      </w:tr>
      <w:tr>
        <w:trPr>
          <w:trHeight w:val="264"/>
        </w:trPr>
        <w:tc>
          <w:tcPr>
            <w:tcW w:w="56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50%</w:t>
            </w:r>
          </w:p>
        </w:tc>
      </w:tr>
      <w:tr>
        <w:trPr>
          <w:trHeight w:val="264"/>
        </w:trPr>
        <w:tc>
          <w:tcPr>
            <w:tcW w:w="56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6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100%</w:t>
            </w:r>
          </w:p>
        </w:tc>
      </w:tr>
    </w:tbl>
    <w:p>
      <w:pPr>
        <w:spacing w:after="0" w:line="211" w:lineRule="exact"/>
        <w:rPr>
          <w:sz w:val="20"/>
          <w:szCs w:val="20"/>
          <w:color w:val="auto"/>
        </w:rPr>
      </w:pPr>
    </w:p>
    <w:p>
      <w:pPr>
        <w:jc w:val="both"/>
        <w:ind w:right="100" w:firstLine="332"/>
        <w:spacing w:after="0" w:line="310" w:lineRule="auto"/>
        <w:tabs>
          <w:tab w:leader="none" w:pos="813"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Non-GAAP EPS. </w:t>
      </w:r>
      <w:r>
        <w:rPr>
          <w:rFonts w:ascii="Arial" w:cs="Arial" w:eastAsia="Arial" w:hAnsi="Arial"/>
          <w:sz w:val="19"/>
          <w:szCs w:val="19"/>
          <w:color w:val="auto"/>
        </w:rPr>
        <w:t>Non-GAAP EPS achievement and [***] will be rounded to the nearest whole cent (e.g., achievement at</w:t>
      </w:r>
      <w:r>
        <w:rPr>
          <w:rFonts w:ascii="Arial" w:cs="Arial" w:eastAsia="Arial" w:hAnsi="Arial"/>
          <w:sz w:val="19"/>
          <w:szCs w:val="19"/>
          <w:b w:val="1"/>
          <w:bCs w:val="1"/>
          <w:color w:val="auto"/>
        </w:rPr>
        <w:t xml:space="preserve"> </w:t>
      </w:r>
      <w:r>
        <w:rPr>
          <w:rFonts w:ascii="Arial" w:cs="Arial" w:eastAsia="Arial" w:hAnsi="Arial"/>
          <w:sz w:val="19"/>
          <w:szCs w:val="19"/>
          <w:color w:val="auto"/>
        </w:rPr>
        <w:t>or above $0.005 will be rounded up, and achievement below $0.005 will be rounded down). The payout percentage scales based upon the achievement of Non-GAAP EPS in relation to the [***] as follows with no sliding scale of achievement between tiers: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7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Non-GAAP EPS</w:t>
            </w:r>
          </w:p>
        </w:tc>
        <w:tc>
          <w:tcPr>
            <w:tcW w:w="570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Payment Percentage</w:t>
            </w:r>
          </w:p>
        </w:tc>
      </w:tr>
      <w:tr>
        <w:trPr>
          <w:trHeight w:val="264"/>
        </w:trPr>
        <w:tc>
          <w:tcPr>
            <w:tcW w:w="57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0%</w:t>
            </w:r>
          </w:p>
        </w:tc>
      </w:tr>
      <w:tr>
        <w:trPr>
          <w:trHeight w:val="264"/>
        </w:trPr>
        <w:tc>
          <w:tcPr>
            <w:tcW w:w="57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25%</w:t>
            </w:r>
          </w:p>
        </w:tc>
      </w:tr>
      <w:tr>
        <w:trPr>
          <w:trHeight w:val="264"/>
        </w:trPr>
        <w:tc>
          <w:tcPr>
            <w:tcW w:w="57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50%</w:t>
            </w:r>
          </w:p>
        </w:tc>
      </w:tr>
      <w:tr>
        <w:trPr>
          <w:trHeight w:val="264"/>
        </w:trPr>
        <w:tc>
          <w:tcPr>
            <w:tcW w:w="57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70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100%</w:t>
            </w:r>
          </w:p>
        </w:tc>
      </w:tr>
    </w:tbl>
    <w:p>
      <w:pPr>
        <w:spacing w:after="0" w:line="198" w:lineRule="exact"/>
        <w:rPr>
          <w:sz w:val="20"/>
          <w:szCs w:val="20"/>
          <w:color w:val="auto"/>
        </w:rPr>
      </w:pPr>
    </w:p>
    <w:p>
      <w:pPr>
        <w:ind w:right="480" w:firstLine="8"/>
        <w:spacing w:after="0" w:line="282" w:lineRule="auto"/>
        <w:tabs>
          <w:tab w:leader="none" w:pos="4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has been omitted and filed separately with the Securities and Exchange Commission. Confidential Treatment has been requested with respect to the omitted portions.</w:t>
      </w:r>
    </w:p>
    <w:p>
      <w:pPr>
        <w:spacing w:after="0" w:line="199"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7"/>
          <w:szCs w:val="17"/>
          <w:color w:val="auto"/>
        </w:rPr>
        <w:t>Page 3 of 3</w:t>
        <w:tab/>
        <w:t>Effective 07/01/2016, amended July 2016</w:t>
      </w:r>
    </w:p>
    <w:p>
      <w:pPr>
        <w:sectPr>
          <w:pgSz w:w="11900" w:h="16838" w:orient="portrait"/>
          <w:cols w:equalWidth="0" w:num="1">
            <w:col w:w="11440"/>
          </w:cols>
          <w:pgMar w:left="240" w:top="756" w:right="21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3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6" w:lineRule="auto"/>
        <w:tabs>
          <w:tab w:leader="none" w:pos="9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4, 2016</w:t>
      </w:r>
    </w:p>
    <w:p>
      <w:pPr>
        <w:spacing w:after="0" w:line="5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3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4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6" w:lineRule="auto"/>
        <w:tabs>
          <w:tab w:leader="none" w:pos="9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August 4, 2016</w:t>
      </w:r>
    </w:p>
    <w:p>
      <w:pPr>
        <w:spacing w:after="0" w:line="5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46"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2016,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16" w:lineRule="exact"/>
        <w:rPr>
          <w:sz w:val="20"/>
          <w:szCs w:val="20"/>
          <w:color w:val="auto"/>
        </w:rPr>
      </w:pPr>
    </w:p>
    <w:p>
      <w:pPr>
        <w:ind w:left="780" w:hanging="27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August 4, 2016</w:t>
      </w:r>
    </w:p>
    <w:p>
      <w:pPr>
        <w:spacing w:after="0" w:line="5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77"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3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June 30, 2016,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09" w:lineRule="exact"/>
        <w:rPr>
          <w:sz w:val="20"/>
          <w:szCs w:val="20"/>
          <w:color w:val="auto"/>
        </w:rPr>
      </w:pPr>
    </w:p>
    <w:p>
      <w:pPr>
        <w:ind w:left="780" w:hanging="2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92" w:lineRule="auto"/>
        <w:tabs>
          <w:tab w:leader="none" w:pos="7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2016</w:t>
      </w:r>
    </w:p>
    <w:p>
      <w:pPr>
        <w:spacing w:after="0" w:line="5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2)"/>
      <w:numFmt w:val="lowerLetter"/>
      <w:start w:val="1"/>
    </w:lvl>
  </w:abstractNum>
  <w:abstractNum w:abstractNumId="17">
    <w:nsid w:val="2D1D5A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
    <w:nsid w:val="6763845E"/>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9">
    <w:nsid w:val="75A2A8D4"/>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decimal"/>
      <w:start w:val="2"/>
    </w:lvl>
  </w:abstractNum>
  <w:abstractNum w:abstractNumId="27">
    <w:nsid w:val="2CA88611"/>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2019-12-29T10:19:05Z</dcterms:created>
  <dcterms:modified xsi:type="dcterms:W3CDTF">2019-12-29T10:19:05Z</dcterms:modified>
</cp:coreProperties>
</file>