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176"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tbl>
      <w:tblPr>
        <w:tblLayout w:type="fixed"/>
        <w:tblInd w:w="1440" w:type="dxa"/>
        <w:tblCellMar>
          <w:top w:w="0" w:type="dxa"/>
          <w:left w:w="0" w:type="dxa"/>
          <w:bottom w:w="0" w:type="dxa"/>
          <w:right w:w="0" w:type="dxa"/>
        </w:tblCellMar>
      </w:tblPr>
      <w:tr>
        <w:trPr>
          <w:trHeight w:val="442"/>
        </w:trPr>
        <w:tc>
          <w:tcPr>
            <w:tcW w:w="6640" w:type="dxa"/>
            <w:vAlign w:val="bottom"/>
          </w:tcPr>
          <w:p>
            <w:pPr>
              <w:jc w:val="center"/>
              <w:ind w:left="1813"/>
              <w:spacing w:after="0" w:line="441" w:lineRule="exact"/>
              <w:rPr>
                <w:sz w:val="20"/>
                <w:szCs w:val="20"/>
                <w:color w:val="auto"/>
              </w:rPr>
            </w:pPr>
            <w:r>
              <w:rPr>
                <w:rFonts w:ascii="Arial" w:cs="Arial" w:eastAsia="Arial" w:hAnsi="Arial"/>
                <w:sz w:val="40"/>
                <w:szCs w:val="40"/>
                <w:b w:val="1"/>
                <w:bCs w:val="1"/>
                <w:color w:val="231F20"/>
                <w:w w:val="97"/>
              </w:rPr>
              <w:t>QUALYS, INC.</w:t>
            </w:r>
          </w:p>
        </w:tc>
        <w:tc>
          <w:tcPr>
            <w:tcW w:w="1660" w:type="dxa"/>
            <w:vAlign w:val="bottom"/>
          </w:tcPr>
          <w:p>
            <w:pPr>
              <w:spacing w:after="0"/>
              <w:rPr>
                <w:sz w:val="24"/>
                <w:szCs w:val="24"/>
                <w:color w:val="auto"/>
              </w:rPr>
            </w:pPr>
          </w:p>
        </w:tc>
      </w:tr>
      <w:tr>
        <w:trPr>
          <w:trHeight w:val="148"/>
        </w:trPr>
        <w:tc>
          <w:tcPr>
            <w:tcW w:w="6640" w:type="dxa"/>
            <w:vAlign w:val="bottom"/>
          </w:tcPr>
          <w:p>
            <w:pPr>
              <w:jc w:val="center"/>
              <w:ind w:left="181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c>
          <w:tcPr>
            <w:tcW w:w="1660" w:type="dxa"/>
            <w:vAlign w:val="bottom"/>
          </w:tcPr>
          <w:p>
            <w:pPr>
              <w:spacing w:after="0"/>
              <w:rPr>
                <w:sz w:val="12"/>
                <w:szCs w:val="12"/>
                <w:color w:val="auto"/>
              </w:rPr>
            </w:pPr>
          </w:p>
        </w:tc>
      </w:tr>
      <w:tr>
        <w:trPr>
          <w:trHeight w:val="239"/>
        </w:trPr>
        <w:tc>
          <w:tcPr>
            <w:tcW w:w="6640" w:type="dxa"/>
            <w:vAlign w:val="bottom"/>
          </w:tcPr>
          <w:p>
            <w:pPr>
              <w:jc w:val="center"/>
              <w:ind w:left="1833"/>
              <w:spacing w:after="0"/>
              <w:rPr>
                <w:sz w:val="20"/>
                <w:szCs w:val="20"/>
                <w:color w:val="auto"/>
              </w:rPr>
            </w:pPr>
            <w:r>
              <w:rPr>
                <w:rFonts w:ascii="Arial" w:cs="Arial" w:eastAsia="Arial" w:hAnsi="Arial"/>
                <w:sz w:val="18"/>
                <w:szCs w:val="18"/>
                <w:b w:val="1"/>
                <w:bCs w:val="1"/>
                <w:color w:val="231F20"/>
                <w:w w:val="99"/>
              </w:rPr>
              <w:t>__________________</w:t>
            </w:r>
          </w:p>
        </w:tc>
        <w:tc>
          <w:tcPr>
            <w:tcW w:w="1660" w:type="dxa"/>
            <w:vAlign w:val="bottom"/>
          </w:tcPr>
          <w:p>
            <w:pPr>
              <w:spacing w:after="0"/>
              <w:rPr>
                <w:sz w:val="20"/>
                <w:szCs w:val="20"/>
                <w:color w:val="auto"/>
              </w:rPr>
            </w:pPr>
          </w:p>
        </w:tc>
      </w:tr>
      <w:tr>
        <w:trPr>
          <w:trHeight w:val="357"/>
        </w:trPr>
        <w:tc>
          <w:tcPr>
            <w:tcW w:w="6640" w:type="dxa"/>
            <w:vAlign w:val="bottom"/>
          </w:tcPr>
          <w:p>
            <w:pPr>
              <w:jc w:val="center"/>
              <w:ind w:right="4513"/>
              <w:spacing w:after="0"/>
              <w:rPr>
                <w:sz w:val="20"/>
                <w:szCs w:val="20"/>
                <w:color w:val="auto"/>
              </w:rPr>
            </w:pPr>
            <w:r>
              <w:rPr>
                <w:rFonts w:ascii="Arial" w:cs="Arial" w:eastAsia="Arial" w:hAnsi="Arial"/>
                <w:sz w:val="14"/>
                <w:szCs w:val="14"/>
                <w:b w:val="1"/>
                <w:bCs w:val="1"/>
                <w:color w:val="auto"/>
              </w:rPr>
              <w:t>Delaware</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6640" w:type="dxa"/>
            <w:vAlign w:val="bottom"/>
          </w:tcPr>
          <w:p>
            <w:pPr>
              <w:jc w:val="center"/>
              <w:ind w:right="4493"/>
              <w:spacing w:after="0"/>
              <w:rPr>
                <w:sz w:val="20"/>
                <w:szCs w:val="20"/>
                <w:color w:val="auto"/>
              </w:rPr>
            </w:pPr>
            <w:r>
              <w:rPr>
                <w:rFonts w:ascii="Arial" w:cs="Arial" w:eastAsia="Arial" w:hAnsi="Arial"/>
                <w:sz w:val="14"/>
                <w:szCs w:val="14"/>
                <w:b w:val="1"/>
                <w:bCs w:val="1"/>
                <w:color w:val="auto"/>
              </w:rPr>
              <w:t>(State or other jurisdiction of</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6640" w:type="dxa"/>
            <w:vAlign w:val="bottom"/>
          </w:tcPr>
          <w:p>
            <w:pPr>
              <w:jc w:val="center"/>
              <w:ind w:right="4493"/>
              <w:spacing w:after="0"/>
              <w:rPr>
                <w:sz w:val="20"/>
                <w:szCs w:val="20"/>
                <w:color w:val="auto"/>
              </w:rPr>
            </w:pPr>
            <w:r>
              <w:rPr>
                <w:rFonts w:ascii="Arial" w:cs="Arial" w:eastAsia="Arial" w:hAnsi="Arial"/>
                <w:sz w:val="14"/>
                <w:szCs w:val="14"/>
                <w:b w:val="1"/>
                <w:bCs w:val="1"/>
                <w:color w:val="auto"/>
              </w:rPr>
              <w:t>incorporation or organization)</w:t>
            </w:r>
          </w:p>
        </w:tc>
        <w:tc>
          <w:tcPr>
            <w:tcW w:w="1660" w:type="dxa"/>
            <w:vAlign w:val="bottom"/>
          </w:tcPr>
          <w:p>
            <w:pPr>
              <w:jc w:val="center"/>
              <w:ind w:left="48"/>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6640" w:type="dxa"/>
            <w:vAlign w:val="bottom"/>
          </w:tcPr>
          <w:p>
            <w:pPr>
              <w:jc w:val="center"/>
              <w:ind w:left="1833"/>
              <w:spacing w:after="0"/>
              <w:rPr>
                <w:sz w:val="20"/>
                <w:szCs w:val="20"/>
                <w:color w:val="auto"/>
              </w:rPr>
            </w:pPr>
            <w:r>
              <w:rPr>
                <w:rFonts w:ascii="Arial" w:cs="Arial" w:eastAsia="Arial" w:hAnsi="Arial"/>
                <w:sz w:val="14"/>
                <w:szCs w:val="14"/>
                <w:b w:val="1"/>
                <w:bCs w:val="1"/>
                <w:color w:val="auto"/>
              </w:rPr>
              <w:t>919 E. Hillsdale Boulevard, 4th Floor, Foster City, California 94404</w:t>
            </w:r>
          </w:p>
        </w:tc>
        <w:tc>
          <w:tcPr>
            <w:tcW w:w="1660" w:type="dxa"/>
            <w:vAlign w:val="bottom"/>
          </w:tcPr>
          <w:p>
            <w:pPr>
              <w:spacing w:after="0"/>
              <w:rPr>
                <w:sz w:val="24"/>
                <w:szCs w:val="24"/>
                <w:color w:val="auto"/>
              </w:rPr>
            </w:pPr>
          </w:p>
        </w:tc>
      </w:tr>
      <w:tr>
        <w:trPr>
          <w:trHeight w:val="190"/>
        </w:trPr>
        <w:tc>
          <w:tcPr>
            <w:tcW w:w="6640" w:type="dxa"/>
            <w:vAlign w:val="bottom"/>
          </w:tcPr>
          <w:p>
            <w:pPr>
              <w:jc w:val="center"/>
              <w:ind w:left="1813"/>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296"/>
        </w:trPr>
        <w:tc>
          <w:tcPr>
            <w:tcW w:w="6640" w:type="dxa"/>
            <w:vAlign w:val="bottom"/>
          </w:tcPr>
          <w:p>
            <w:pPr>
              <w:jc w:val="center"/>
              <w:ind w:left="1813"/>
              <w:spacing w:after="0"/>
              <w:rPr>
                <w:sz w:val="20"/>
                <w:szCs w:val="20"/>
                <w:color w:val="auto"/>
              </w:rPr>
            </w:pPr>
            <w:r>
              <w:rPr>
                <w:rFonts w:ascii="Arial" w:cs="Arial" w:eastAsia="Arial" w:hAnsi="Arial"/>
                <w:sz w:val="14"/>
                <w:szCs w:val="14"/>
                <w:b w:val="1"/>
                <w:bCs w:val="1"/>
                <w:color w:val="auto"/>
              </w:rPr>
              <w:t>(650) 801-6100</w:t>
            </w:r>
          </w:p>
        </w:tc>
        <w:tc>
          <w:tcPr>
            <w:tcW w:w="1660" w:type="dxa"/>
            <w:vAlign w:val="bottom"/>
          </w:tcPr>
          <w:p>
            <w:pPr>
              <w:spacing w:after="0"/>
              <w:rPr>
                <w:sz w:val="24"/>
                <w:szCs w:val="24"/>
                <w:color w:val="auto"/>
              </w:rPr>
            </w:pPr>
          </w:p>
        </w:tc>
      </w:tr>
      <w:tr>
        <w:trPr>
          <w:trHeight w:val="148"/>
        </w:trPr>
        <w:tc>
          <w:tcPr>
            <w:tcW w:w="6640" w:type="dxa"/>
            <w:vAlign w:val="bottom"/>
          </w:tcPr>
          <w:p>
            <w:pPr>
              <w:jc w:val="center"/>
              <w:ind w:left="183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c>
          <w:tcPr>
            <w:tcW w:w="1660" w:type="dxa"/>
            <w:vAlign w:val="bottom"/>
          </w:tcPr>
          <w:p>
            <w:pPr>
              <w:spacing w:after="0"/>
              <w:rPr>
                <w:sz w:val="12"/>
                <w:szCs w:val="12"/>
                <w:color w:val="auto"/>
              </w:rPr>
            </w:pPr>
          </w:p>
        </w:tc>
      </w:tr>
      <w:tr>
        <w:trPr>
          <w:trHeight w:val="239"/>
        </w:trPr>
        <w:tc>
          <w:tcPr>
            <w:tcW w:w="6640" w:type="dxa"/>
            <w:vAlign w:val="bottom"/>
          </w:tcPr>
          <w:p>
            <w:pPr>
              <w:jc w:val="center"/>
              <w:ind w:left="1833"/>
              <w:spacing w:after="0"/>
              <w:rPr>
                <w:sz w:val="20"/>
                <w:szCs w:val="20"/>
                <w:color w:val="auto"/>
              </w:rPr>
            </w:pPr>
            <w:r>
              <w:rPr>
                <w:rFonts w:ascii="Arial" w:cs="Arial" w:eastAsia="Arial" w:hAnsi="Arial"/>
                <w:sz w:val="18"/>
                <w:szCs w:val="18"/>
                <w:b w:val="1"/>
                <w:bCs w:val="1"/>
                <w:color w:val="231F20"/>
                <w:w w:val="99"/>
              </w:rPr>
              <w:t>__________________</w:t>
            </w:r>
          </w:p>
        </w:tc>
        <w:tc>
          <w:tcPr>
            <w:tcW w:w="1660" w:type="dxa"/>
            <w:vAlign w:val="bottom"/>
          </w:tcPr>
          <w:p>
            <w:pPr>
              <w:spacing w:after="0"/>
              <w:rPr>
                <w:sz w:val="20"/>
                <w:szCs w:val="20"/>
                <w:color w:val="auto"/>
              </w:rPr>
            </w:pP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249" w:right="319" w:bottom="1440" w:gutter="0" w:footer="0" w:header="0"/>
        </w:sectPr>
      </w:pPr>
    </w:p>
    <w:p>
      <w:pPr>
        <w:spacing w:after="0" w:line="163" w:lineRule="exact"/>
        <w:rPr>
          <w:sz w:val="24"/>
          <w:szCs w:val="24"/>
          <w:color w:val="auto"/>
        </w:rPr>
      </w:pPr>
    </w:p>
    <w:p>
      <w:pPr>
        <w:ind w:left="40"/>
        <w:spacing w:after="0"/>
        <w:tabs>
          <w:tab w:leader="none" w:pos="4740" w:val="left"/>
          <w:tab w:leader="none" w:pos="5600" w:val="left"/>
        </w:tabs>
        <w:rPr>
          <w:sz w:val="20"/>
          <w:szCs w:val="20"/>
          <w:color w:val="auto"/>
        </w:rPr>
      </w:pPr>
      <w:r>
        <w:rPr>
          <w:rFonts w:ascii="Arial" w:cs="Arial" w:eastAsia="Arial" w:hAnsi="Arial"/>
          <w:sz w:val="16"/>
          <w:szCs w:val="16"/>
          <w:color w:val="231F20"/>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231F20"/>
        </w:rPr>
        <w:t>Accelerated filer</w:t>
      </w:r>
    </w:p>
    <w:p>
      <w:pPr>
        <w:spacing w:after="0" w:line="98" w:lineRule="exact"/>
        <w:rPr>
          <w:sz w:val="24"/>
          <w:szCs w:val="24"/>
          <w:color w:val="auto"/>
        </w:rPr>
      </w:pPr>
    </w:p>
    <w:p>
      <w:pPr>
        <w:ind w:left="40"/>
        <w:spacing w:after="0"/>
        <w:tabs>
          <w:tab w:leader="none" w:pos="4740" w:val="left"/>
          <w:tab w:leader="none" w:pos="65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Emerging growth company</w:t>
      </w:r>
    </w:p>
    <w:p>
      <w:pPr>
        <w:spacing w:after="0" w:line="86" w:lineRule="exact"/>
        <w:rPr>
          <w:sz w:val="24"/>
          <w:szCs w:val="24"/>
          <w:color w:val="auto"/>
        </w:rPr>
      </w:pPr>
    </w:p>
    <w:p>
      <w:pPr>
        <w:ind w:left="4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4" w:lineRule="exact"/>
        <w:rPr>
          <w:sz w:val="24"/>
          <w:szCs w:val="24"/>
          <w:color w:val="auto"/>
        </w:rPr>
      </w:pPr>
    </w:p>
    <w:p>
      <w:pPr>
        <w:spacing w:after="0" w:line="184" w:lineRule="exact"/>
        <w:tabs>
          <w:tab w:leader="none" w:pos="8260" w:val="left"/>
          <w:tab w:leader="none" w:pos="8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April 30, 2018 was 38,978,887.</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600" w:space="420"/>
            <w:col w:w="32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900" w:type="dxa"/>
            <w:vAlign w:val="bottom"/>
            <w:gridSpan w:val="9"/>
          </w:tcPr>
          <w:p>
            <w:pPr>
              <w:ind w:left="36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 xml:space="preserve">Condensed Consolidated Balance Sheets as of </w:t>
              </w:r>
            </w:hyperlink>
            <w:r>
              <w:rPr>
                <w:rFonts w:ascii="Arial" w:cs="Arial" w:eastAsia="Arial" w:hAnsi="Arial"/>
                <w:sz w:val="16"/>
                <w:szCs w:val="16"/>
                <w:color w:val="0000FF"/>
              </w:rPr>
              <w:t>March</w:t>
            </w:r>
            <w:r>
              <w:rPr>
                <w:rFonts w:ascii="Arial" w:cs="Arial" w:eastAsia="Arial" w:hAnsi="Arial"/>
                <w:sz w:val="16"/>
                <w:szCs w:val="16"/>
                <w:color w:val="0000EE"/>
              </w:rPr>
              <w:t xml:space="preserve"> </w:t>
            </w:r>
            <w:r>
              <w:rPr>
                <w:rFonts w:ascii="Arial" w:cs="Arial" w:eastAsia="Arial" w:hAnsi="Arial"/>
                <w:sz w:val="16"/>
                <w:szCs w:val="16"/>
                <w:color w:val="0000FF"/>
              </w:rPr>
              <w:t>31, 2018 and December 31, 2017</w:t>
            </w:r>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Operations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months ended March 31, 2018 and 2017</w:t>
            </w:r>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w:t>
              </w:r>
            </w:hyperlink>
            <w:r>
              <w:rPr>
                <w:rFonts w:ascii="Arial" w:cs="Arial" w:eastAsia="Arial" w:hAnsi="Arial"/>
                <w:sz w:val="16"/>
                <w:szCs w:val="16"/>
                <w:color w:val="0000FF"/>
              </w:rPr>
              <w:t>Comprehensive</w:t>
            </w:r>
            <w:r>
              <w:rPr>
                <w:rFonts w:ascii="Arial" w:cs="Arial" w:eastAsia="Arial" w:hAnsi="Arial"/>
                <w:sz w:val="16"/>
                <w:szCs w:val="16"/>
                <w:color w:val="0000EE"/>
              </w:rPr>
              <w:t xml:space="preserve"> </w:t>
            </w:r>
            <w:r>
              <w:rPr>
                <w:rFonts w:ascii="Arial" w:cs="Arial" w:eastAsia="Arial" w:hAnsi="Arial"/>
                <w:sz w:val="16"/>
                <w:szCs w:val="16"/>
                <w:color w:val="0000FF"/>
              </w:rPr>
              <w:t>Income for the three months ended March 31, 2018 and 2017</w:t>
            </w:r>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 xml:space="preserve">Condensed Consolidated Statements of Cash Flows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months ended March 31, 2018 and 2017</w:t>
            </w:r>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4360" w:type="dxa"/>
            <w:vAlign w:val="bottom"/>
            <w:tcBorders>
              <w:top w:val="single" w:sz="8" w:color="0000EE"/>
            </w:tcBorders>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3280" w:type="dxa"/>
            <w:vAlign w:val="bottom"/>
            <w:tcBorders>
              <w:top w:val="single" w:sz="8" w:color="0000FF"/>
            </w:tcBorders>
            <w:gridSpan w:val="4"/>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top w:val="single" w:sz="8" w:color="0000EE"/>
            </w:tcBorders>
          </w:tcPr>
          <w:p>
            <w:pPr>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EE"/>
              <w:bottom w:val="single" w:sz="8" w:color="0000FF"/>
            </w:tcBorders>
            <w:gridSpan w:val="1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Quantitative and Qualitative Disclosures About Market Risk</w:t>
              </w:r>
            </w:hyperlink>
          </w:p>
        </w:tc>
        <w:tc>
          <w:tcPr>
            <w:tcW w:w="2000" w:type="dxa"/>
            <w:vAlign w:val="bottom"/>
            <w:tcBorders>
              <w:top w:val="single" w:sz="8" w:color="0000EE"/>
            </w:tcBorders>
            <w:gridSpan w:val="2"/>
          </w:tcPr>
          <w:p>
            <w:pPr>
              <w:spacing w:after="0"/>
              <w:rPr>
                <w:sz w:val="19"/>
                <w:szCs w:val="19"/>
                <w:color w:val="auto"/>
              </w:rPr>
            </w:pPr>
          </w:p>
        </w:tc>
        <w:tc>
          <w:tcPr>
            <w:tcW w:w="3440" w:type="dxa"/>
            <w:vAlign w:val="bottom"/>
            <w:gridSpan w:val="4"/>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38</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9"/>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360" w:type="dxa"/>
            <w:vAlign w:val="bottom"/>
            <w:gridSpan w:val="8"/>
          </w:tcPr>
          <w:p>
            <w:pPr>
              <w:ind w:left="4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0">
              <w:r>
                <w:rPr>
                  <w:rFonts w:ascii="Arial" w:cs="Arial" w:eastAsia="Arial" w:hAnsi="Arial"/>
                  <w:sz w:val="16"/>
                  <w:szCs w:val="16"/>
                  <w:color w:val="0000FF"/>
                  <w:w w:val="99"/>
                </w:rPr>
                <w:t>Legal Proceedings</w:t>
              </w:r>
            </w:hyperlink>
          </w:p>
        </w:tc>
        <w:tc>
          <w:tcPr>
            <w:tcW w:w="84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40</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40">
              <w:r>
                <w:rPr>
                  <w:rFonts w:ascii="Arial" w:cs="Arial" w:eastAsia="Arial" w:hAnsi="Arial"/>
                  <w:sz w:val="16"/>
                  <w:szCs w:val="16"/>
                  <w:color w:val="0000FF"/>
                  <w:w w:val="98"/>
                </w:rPr>
                <w:t>Risk Factors</w:t>
              </w:r>
            </w:hyperlink>
          </w:p>
        </w:tc>
        <w:tc>
          <w:tcPr>
            <w:tcW w:w="8900" w:type="dxa"/>
            <w:vAlign w:val="bottom"/>
            <w:gridSpan w:val="1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40</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3"/>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62</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10"/>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62</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62">
              <w:r>
                <w:rPr>
                  <w:rFonts w:ascii="Arial" w:cs="Arial" w:eastAsia="Arial" w:hAnsi="Arial"/>
                  <w:sz w:val="16"/>
                  <w:szCs w:val="16"/>
                  <w:color w:val="0000FF"/>
                  <w:w w:val="99"/>
                </w:rPr>
                <w:t>Other Information</w:t>
              </w:r>
            </w:hyperlink>
          </w:p>
        </w:tc>
        <w:tc>
          <w:tcPr>
            <w:tcW w:w="854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62</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9"/>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63</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93,174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86,591</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235,353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201,823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$802 and $816 as of March 31, 2018 and December 31, 2017, respectively</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49,874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64,412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15,488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16,524</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393,889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369,350</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65,363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67,224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60,696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58,557</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24,085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25,066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11,769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1,549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565,612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537,525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1,310</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22,181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21,444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 current</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147,656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143,186</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171,147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165,774</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14,995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17,136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13,151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11,071</w:t>
            </w:r>
          </w:p>
        </w:tc>
        <w:tc>
          <w:tcPr>
            <w:tcW w:w="0" w:type="dxa"/>
            <w:vAlign w:val="bottom"/>
          </w:tcPr>
          <w:p>
            <w:pPr>
              <w:spacing w:after="0"/>
              <w:rPr>
                <w:sz w:val="1"/>
                <w:szCs w:val="1"/>
                <w:color w:val="auto"/>
              </w:rPr>
            </w:pP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199,293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193,981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6)</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March 31, 2018 and</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 2017</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38,957,692 and 38,598,117 shares issued and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outstanding at March 31, 2018 and December 31, 2017</w:t>
            </w:r>
          </w:p>
        </w:tc>
        <w:tc>
          <w:tcPr>
            <w:tcW w:w="2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316,694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304,155</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(965)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50,551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39,924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366,319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343,544</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565,612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537,525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9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64,878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53,121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2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15,901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12,294</w:t>
            </w:r>
          </w:p>
        </w:tc>
        <w:tc>
          <w:tcPr>
            <w:tcW w:w="0" w:type="dxa"/>
            <w:vAlign w:val="bottom"/>
          </w:tcPr>
          <w:p>
            <w:pPr>
              <w:spacing w:after="0"/>
              <w:rPr>
                <w:sz w:val="1"/>
                <w:szCs w:val="1"/>
                <w:color w:val="auto"/>
              </w:rPr>
            </w:pPr>
          </w:p>
        </w:tc>
      </w:tr>
      <w:tr>
        <w:trPr>
          <w:trHeight w:val="25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48,977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40,827</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9,823</w:t>
            </w: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16,233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16,014</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68"/>
              <w:spacing w:after="0"/>
              <w:rPr>
                <w:sz w:val="20"/>
                <w:szCs w:val="20"/>
                <w:color w:val="auto"/>
              </w:rPr>
            </w:pPr>
            <w:r>
              <w:rPr>
                <w:rFonts w:ascii="Arial" w:cs="Arial" w:eastAsia="Arial" w:hAnsi="Arial"/>
                <w:sz w:val="14"/>
                <w:szCs w:val="14"/>
                <w:color w:val="auto"/>
              </w:rPr>
              <w:t>11,785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78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7,334</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40,571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33,171</w:t>
            </w:r>
          </w:p>
        </w:tc>
        <w:tc>
          <w:tcPr>
            <w:tcW w:w="0" w:type="dxa"/>
            <w:vAlign w:val="bottom"/>
          </w:tcPr>
          <w:p>
            <w:pPr>
              <w:spacing w:after="0"/>
              <w:rPr>
                <w:sz w:val="1"/>
                <w:szCs w:val="1"/>
                <w:color w:val="auto"/>
              </w:rPr>
            </w:pP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7,656</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6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7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2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1,245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8,109</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231F20"/>
              </w:rPr>
              <w:t>509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(13,821)</w:t>
            </w:r>
          </w:p>
        </w:tc>
        <w:tc>
          <w:tcPr>
            <w:tcW w:w="0" w:type="dxa"/>
            <w:vAlign w:val="bottom"/>
          </w:tcPr>
          <w:p>
            <w:pPr>
              <w:spacing w:after="0"/>
              <w:rPr>
                <w:sz w:val="1"/>
                <w:szCs w:val="1"/>
                <w:color w:val="auto"/>
              </w:rPr>
            </w:pPr>
          </w:p>
        </w:tc>
      </w:tr>
      <w:tr>
        <w:trPr>
          <w:trHeight w:val="24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21,930</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0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51"/>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38,789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36,493</w:t>
            </w:r>
          </w:p>
        </w:tc>
        <w:tc>
          <w:tcPr>
            <w:tcW w:w="0" w:type="dxa"/>
            <w:vAlign w:val="bottom"/>
          </w:tcPr>
          <w:p>
            <w:pPr>
              <w:spacing w:after="0"/>
              <w:rPr>
                <w:sz w:val="1"/>
                <w:szCs w:val="1"/>
                <w:color w:val="auto"/>
              </w:rPr>
            </w:pPr>
          </w:p>
        </w:tc>
      </w:tr>
      <w:tr>
        <w:trPr>
          <w:trHeight w:val="21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41,934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38,845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21,930</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Available-for-sale investments: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net unrealized loss on investments, net of tax</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reclassification adjustment for net realized gain (loss) included in net income, net of tax</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net of tax</w:t>
            </w:r>
          </w:p>
        </w:tc>
        <w:tc>
          <w:tcPr>
            <w:tcW w:w="3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8"/>
        </w:trPr>
        <w:tc>
          <w:tcPr>
            <w:tcW w:w="83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8,751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21,860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247"/>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64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9,142</w:t>
            </w:r>
          </w:p>
        </w:tc>
        <w:tc>
          <w:tcPr>
            <w:tcW w:w="12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21,930</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7,043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4,820</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10</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2</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4,332</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426</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(22,559)</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benefits included in deferred tax assets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8,368</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14,538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5,375</w:t>
            </w: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981</w:t>
            </w: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255</w:t>
            </w: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463</w:t>
            </w: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8,012</w:t>
            </w:r>
          </w:p>
        </w:tc>
      </w:tr>
      <w:tr>
        <w:trPr>
          <w:trHeight w:val="270"/>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10</w:t>
            </w:r>
          </w:p>
        </w:tc>
      </w:tr>
      <w:tr>
        <w:trPr>
          <w:trHeight w:val="21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42,989</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32,425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(72,176)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(60,201)</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40,080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63,738</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(4,543)</w:t>
            </w:r>
          </w:p>
        </w:tc>
      </w:tr>
      <w:tr>
        <w:trPr>
          <w:trHeight w:val="25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(38,081)</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5,602</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(4,030)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(14,107)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Repurchase of common stock</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1,675</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(8,505)</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cash equivalents and restricted cash</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22,914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87,791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87,937</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94,374</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110,851</w:t>
            </w:r>
          </w:p>
        </w:tc>
      </w:tr>
      <w:tr>
        <w:trPr>
          <w:trHeight w:val="264"/>
        </w:trPr>
        <w:tc>
          <w:tcPr>
            <w:tcW w:w="8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 expense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380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
              <w:spacing w:after="0"/>
              <w:rPr>
                <w:sz w:val="20"/>
                <w:szCs w:val="20"/>
                <w:color w:val="auto"/>
              </w:rPr>
            </w:pPr>
            <w:r>
              <w:rPr>
                <w:rFonts w:ascii="Arial" w:cs="Arial" w:eastAsia="Arial" w:hAnsi="Arial"/>
                <w:sz w:val="14"/>
                <w:szCs w:val="14"/>
                <w:color w:val="auto"/>
              </w:rPr>
              <w:t>3,027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assets under capital lease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35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2017</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month period ended March 31, 2018 are not necessarily indicative of the results of operations expected for the entire year ending December 31, 2018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2017</w:t>
      </w:r>
      <w:r>
        <w:rPr>
          <w:rFonts w:ascii="Arial" w:cs="Arial" w:eastAsia="Arial" w:hAnsi="Arial"/>
          <w:sz w:val="18"/>
          <w:szCs w:val="18"/>
          <w:color w:val="231F20"/>
        </w:rPr>
        <w:t>, filed with the SEC on February 23, 2018.</w:t>
      </w:r>
    </w:p>
    <w:p>
      <w:pPr>
        <w:spacing w:after="0" w:line="211"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231F20"/>
        </w:rPr>
        <w:t xml:space="preserve">Except for the changes below, the Company has consistently applied the </w:t>
      </w:r>
      <w:r>
        <w:rPr>
          <w:rFonts w:ascii="Arial" w:cs="Arial" w:eastAsia="Arial" w:hAnsi="Arial"/>
          <w:sz w:val="18"/>
          <w:szCs w:val="18"/>
          <w:color w:val="000000"/>
        </w:rPr>
        <w:t>accounting policies, described in its Annual Report on Form 10-K for the year ended December 31, 2017, to all periods presented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adopted Accounting Standards Codification ("ASC") 606 Revenue from Contracts with Customers with a date of initial application of January 1, 2018. The Company adopted ASC 606 using the modified retrospective method and recognized the cumulative effect as an adjustment to the opening balance of equity at January 1, 2018. Therefore, the comparative information from the prior period has not been adjusted and continues to be reported under ASC 605. The impact of adopting ASC 606 was related to the deferral of sales commission costs for new business and when customers increase their renewal orders (“upsells”). The Company previously expensed sales commissions as incurred. Under ASC 606, sales commissions cost related to new business and upsells are recorded as an asset. The Company expenses the commission cost as a selling expense on a straight-line basis over a period of five years. Five years represents the estimated life of the customer relationship taking into account factors such as peer estimates of technology lives and customer lives as well as the Company's own historical data. Applying the practical expedient in ASC 340-40-25-4, the Company expenses commissions related to contract renewals with a renewal contract term of one year or less. The current and noncurrent portions of deferred commissions are included in prepaid expenses and other current assets, and other noncurrent assets, respectively, in its condensed consolidated balance sheets.</w:t>
      </w:r>
    </w:p>
    <w:p>
      <w:pPr>
        <w:spacing w:after="0" w:line="212"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8"/>
          <w:szCs w:val="18"/>
          <w:color w:val="auto"/>
        </w:rPr>
        <w:t>On January 1, 2018, the Company recorded an increase to retained earnings of $2.7 million which was the net cumulative impact associated with the capitalization of sales commissions. Additionally, the Company recorded a corresponding commission asset balance of $3.5 million and a related deferred tax liability of $0.8 million. There was no impact to the Company's revenues as a result of adopting ASC</w:t>
      </w:r>
    </w:p>
    <w:p>
      <w:pPr>
        <w:spacing w:after="0" w:line="1" w:lineRule="exact"/>
        <w:rPr>
          <w:sz w:val="20"/>
          <w:szCs w:val="20"/>
          <w:color w:val="auto"/>
        </w:rPr>
      </w:pPr>
    </w:p>
    <w:p>
      <w:pPr>
        <w:jc w:val="both"/>
        <w:ind w:right="20" w:firstLine="8"/>
        <w:spacing w:after="0" w:line="256"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Without the adoption of ASC 606, commission expenses would have been $0.5 million higher in the three months ended March 31, 2018. See Note 4, “Revenue from Contracts with Customers”, for additional information regarding the impact on the Company's condensed consolidated financial statements.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January 2016, the Financial Accounting Standards Board ("FASB") issued Accounting Standards Update ("ASU") 2016-01, Financial Instruments - Overall (Subtopic 825-10): Recognition and Measurement of Financial Assets and Financial Liabilities, which will impact certain aspects of recognition, measurement, presentation and disclosure of financial instruments. The ASU will impact the accounting for equity investments, financial liabilities under the fair value option, and the presentation and disclosure requirements for financial instruments. The Company adopted this ASU in its first quarter of 2018. The adoption of this ASU did not have a material impact on the Company's condensed consolidated financial statements.</w:t>
      </w:r>
    </w:p>
    <w:p>
      <w:pPr>
        <w:spacing w:after="0" w:line="12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August 2016, the FASB issued ASU 2016-15, Classification of Certain Cash Receipts and Cash Payments (a consensus of the Emerging Issues Task Force), to provide guidance on the presentation of certain cash receipts and cash payments in the statement of cash flows in order to reduce diversity in existing practice. The Company adopted this ASU in its first quarter of 2018. The adoption of this ASU did not have a material impact on the Company's condensed consolidated financial statements.</w:t>
      </w:r>
    </w:p>
    <w:p>
      <w:pPr>
        <w:spacing w:after="0" w:line="12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November 2016, the FASB issued ASU 2016-18, Statement of Cash Flows (Topic 230): Restricted Cash. The update provides guidance on the presentation of restricted cash or restricted cash equivalents in the statement of cash flows. The Company adopted this ASU retrospectively in its first quarter of 2018. The Company reclassified restricted cash of $1.2 million each for the three months ended March 31, 2018 and 2017, in the condensed consolidated statements of cash flows.</w:t>
      </w:r>
    </w:p>
    <w:p>
      <w:pPr>
        <w:spacing w:after="0" w:line="123"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In January 2017, the FASB issued ASU 2017-01, Business Combinations (Topic 805): Clarifying the Definition of a Business, which revises the definition of a business and provides new guidance in evaluating when a set of transferred assets and activities is a business. The Company adopted this ASU prospectively in its first quarter of 2018. The Company will apply the provisions of the update to future acquisitions.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February 2016, the FASB issued ASU 2016-02, Leases (Topic 842), which requires lessees to recognize all leases, including operating leases, on the balance sheet as a lease asset or lease liability, unless the lease is a short-term lease. ASU 2016-02 also requires additional disclosures regarding leasing arrangements. ASU 2016-02 is effective for the Company beginning in the first quarter of fiscal 2019 and early adoption is permitted. Pursuant to the leasing criteria, most of the Company's leased space and equipment leases will be required to be accounted for as capitalized assets on the balance sheet with offsetting financing obligations. In the statement of operations, what was formerly rent expense will be bifurcated into depreciation and interest expense. The Company is currently evaluating the impact and expects the ASU will have a material impact on its condensed consolidated financial statements.</w:t>
      </w:r>
    </w:p>
    <w:p>
      <w:pPr>
        <w:spacing w:after="0" w:line="12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ASU is effective for interim and annual goodwill impairment tests in fiscal years beginning after December 15, 2019 with early adoption permitted. This ASU must be applied on a prospective basis. The adoption of this ASU is not expected to have a material impact on the Company's condensed consolidated financial statements.</w:t>
      </w:r>
    </w:p>
    <w:p>
      <w:pPr>
        <w:spacing w:after="0" w:line="12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In February 2018, the FASB issued ASU 2018-02, </w:t>
      </w:r>
      <w:r>
        <w:rPr>
          <w:rFonts w:ascii="Arial" w:cs="Arial" w:eastAsia="Arial" w:hAnsi="Arial"/>
          <w:sz w:val="18"/>
          <w:szCs w:val="18"/>
          <w:color w:val="000000"/>
        </w:rPr>
        <w:t>Income Statement—Reporting Comprehensive Income (Topic 220): Reclassification of</w:t>
      </w:r>
      <w:r>
        <w:rPr>
          <w:rFonts w:ascii="Arial" w:cs="Arial" w:eastAsia="Arial" w:hAnsi="Arial"/>
          <w:sz w:val="18"/>
          <w:szCs w:val="18"/>
          <w:color w:val="231F20"/>
        </w:rPr>
        <w:t xml:space="preserve"> </w:t>
      </w:r>
      <w:r>
        <w:rPr>
          <w:rFonts w:ascii="Arial" w:cs="Arial" w:eastAsia="Arial" w:hAnsi="Arial"/>
          <w:sz w:val="18"/>
          <w:szCs w:val="18"/>
          <w:color w:val="000000"/>
        </w:rPr>
        <w:t xml:space="preserve">Certain Tax Effects from Accumulated Other Comprehensive Income. </w:t>
      </w:r>
      <w:r>
        <w:rPr>
          <w:rFonts w:ascii="Arial" w:cs="Arial" w:eastAsia="Arial" w:hAnsi="Arial"/>
          <w:sz w:val="18"/>
          <w:szCs w:val="18"/>
          <w:color w:val="231F20"/>
        </w:rPr>
        <w:t>This ASU eliminates the stranded tax effects in other comprehensive</w:t>
      </w:r>
      <w:r>
        <w:rPr>
          <w:rFonts w:ascii="Arial" w:cs="Arial" w:eastAsia="Arial" w:hAnsi="Arial"/>
          <w:sz w:val="18"/>
          <w:szCs w:val="18"/>
          <w:color w:val="000000"/>
        </w:rPr>
        <w:t xml:space="preserve"> </w:t>
      </w:r>
      <w:r>
        <w:rPr>
          <w:rFonts w:ascii="Arial" w:cs="Arial" w:eastAsia="Arial" w:hAnsi="Arial"/>
          <w:sz w:val="18"/>
          <w:szCs w:val="18"/>
          <w:color w:val="231F20"/>
        </w:rPr>
        <w:t>income resulting from the Tax Cuts and Jobs Act (the “TCJA”). Because the amendments only relate to the reclassification of the income tax effects of the TCJA, the underlying guidance that requires that the effect of a change in tax laws or rates be included in income from continuing operations is not affected. ASU 2018-02 is effective for us beginning in the first quarter of fiscal 2019 and early adoption is permitted. The Company is currently evaluating the impact of this ASU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40" w:type="dxa"/>
            <w:vAlign w:val="bottom"/>
            <w:gridSpan w:val="5"/>
          </w:tcPr>
          <w:p>
            <w:pPr>
              <w:ind w:left="40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78,685</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78,685</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14,284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14,281</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93,177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93,174</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11,866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11,859</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39,296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39,158</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184,613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184,336</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235,775</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235,353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14,665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14,633</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19,091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19,020</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32,097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31,710</w:t>
            </w:r>
          </w:p>
        </w:tc>
      </w:tr>
      <w:tr>
        <w:trPr>
          <w:trHeight w:val="25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65,853</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65,363</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394,805</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393,890</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1"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86,500</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86,500</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50"/>
        </w:trPr>
        <w:tc>
          <w:tcPr>
            <w:tcW w:w="52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86,591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86,591</w:t>
            </w:r>
          </w:p>
        </w:tc>
      </w:tr>
      <w:tr>
        <w:trPr>
          <w:trHeight w:val="27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12,623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12,620</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38,362</w:t>
            </w:r>
          </w:p>
        </w:tc>
      </w:tr>
      <w:tr>
        <w:trPr>
          <w:trHeight w:val="264"/>
        </w:trPr>
        <w:tc>
          <w:tcPr>
            <w:tcW w:w="52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151,058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150,841</w:t>
            </w:r>
          </w:p>
        </w:tc>
      </w:tr>
      <w:tr>
        <w:trPr>
          <w:trHeight w:val="257"/>
        </w:trPr>
        <w:tc>
          <w:tcPr>
            <w:tcW w:w="52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202,106</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201,823</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4,986</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24,269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24,215</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38,198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38,023</w:t>
            </w:r>
          </w:p>
        </w:tc>
      </w:tr>
      <w:tr>
        <w:trPr>
          <w:trHeight w:val="250"/>
        </w:trPr>
        <w:tc>
          <w:tcPr>
            <w:tcW w:w="52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67,465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67,224</w:t>
            </w:r>
          </w:p>
        </w:tc>
      </w:tr>
      <w:tr>
        <w:trPr>
          <w:trHeight w:val="24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356,162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355,638</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 xml:space="preserve">The following table shows the changes to accumulated other comprehensive loss 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 (Loss)</w:t>
            </w:r>
          </w:p>
        </w:tc>
      </w:tr>
      <w:tr>
        <w:trPr>
          <w:trHeight w:val="189"/>
        </w:trPr>
        <w:tc>
          <w:tcPr>
            <w:tcW w:w="9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Arial" w:cs="Arial" w:eastAsia="Arial" w:hAnsi="Arial"/>
                <w:sz w:val="16"/>
                <w:szCs w:val="16"/>
                <w:b w:val="1"/>
                <w:bCs w:val="1"/>
                <w:color w:val="auto"/>
              </w:rPr>
              <w:t>Gain, net on</w:t>
            </w:r>
          </w:p>
        </w:tc>
      </w:tr>
      <w:tr>
        <w:trPr>
          <w:trHeight w:val="228"/>
        </w:trPr>
        <w:tc>
          <w:tcPr>
            <w:tcW w:w="96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Investments</w:t>
            </w:r>
          </w:p>
        </w:tc>
      </w:tr>
      <w:tr>
        <w:trPr>
          <w:trHeight w:val="243"/>
        </w:trPr>
        <w:tc>
          <w:tcPr>
            <w:tcW w:w="9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33"/>
        </w:trPr>
        <w:tc>
          <w:tcPr>
            <w:tcW w:w="9620" w:type="dxa"/>
            <w:vAlign w:val="bottom"/>
          </w:tcPr>
          <w:p>
            <w:pPr>
              <w:ind w:left="280"/>
              <w:spacing w:after="0"/>
              <w:rPr>
                <w:sz w:val="20"/>
                <w:szCs w:val="20"/>
                <w:color w:val="auto"/>
              </w:rPr>
            </w:pPr>
            <w:r>
              <w:rPr>
                <w:rFonts w:ascii="Arial" w:cs="Arial" w:eastAsia="Arial" w:hAnsi="Arial"/>
                <w:sz w:val="16"/>
                <w:szCs w:val="16"/>
                <w:color w:val="auto"/>
              </w:rPr>
              <w:t>Change in net unrealized loss on investments, net of tax</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46"/>
        </w:trPr>
        <w:tc>
          <w:tcPr>
            <w:tcW w:w="9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for net realized gain included in net income, net of tax</w:t>
            </w:r>
          </w:p>
        </w:tc>
        <w:tc>
          <w:tcPr>
            <w:tcW w:w="1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96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r>
      <w:tr>
        <w:trPr>
          <w:trHeight w:val="248"/>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at March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March 31, 2018</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26,140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26,140</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203,356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203,356</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70,868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70,868</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14,633</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14,633</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314,997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314,997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1"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 2017</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175,056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175,056</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or effective,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5"/>
          </w:tcPr>
          <w:p>
            <w:pPr>
              <w:ind w:left="1400"/>
              <w:spacing w:after="0"/>
              <w:rPr>
                <w:sz w:val="20"/>
                <w:szCs w:val="20"/>
                <w:color w:val="auto"/>
              </w:rPr>
            </w:pPr>
            <w:r>
              <w:rPr>
                <w:rFonts w:ascii="Arial" w:cs="Arial" w:eastAsia="Arial" w:hAnsi="Arial"/>
                <w:sz w:val="16"/>
                <w:szCs w:val="16"/>
                <w:b w:val="1"/>
                <w:bCs w:val="1"/>
                <w:color w:val="auto"/>
              </w:rPr>
              <w:t>March 31, 2018</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198"/>
        </w:trPr>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Mature within</w:t>
            </w:r>
          </w:p>
        </w:tc>
        <w:tc>
          <w:tcPr>
            <w:tcW w:w="1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After One Year through</w:t>
            </w: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8"/>
        </w:trPr>
        <w:tc>
          <w:tcPr>
            <w:tcW w:w="2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9"/>
              </w:rPr>
              <w:t>One Year</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Two Years</w:t>
            </w: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Over Two Years</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80" w:type="dxa"/>
            <w:vAlign w:val="bottom"/>
            <w:gridSpan w:val="5"/>
          </w:tcPr>
          <w:p>
            <w:pPr>
              <w:ind w:left="14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26,140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26,140</w:t>
            </w: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300" w:type="dxa"/>
            <w:vAlign w:val="bottom"/>
          </w:tcPr>
          <w:p>
            <w:pPr>
              <w:spacing w:after="0"/>
              <w:rPr>
                <w:sz w:val="22"/>
                <w:szCs w:val="22"/>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184,336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16,859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2,161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203,356</w:t>
            </w:r>
          </w:p>
        </w:tc>
      </w:tr>
      <w:tr>
        <w:trPr>
          <w:trHeight w:val="28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3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70,868</w:t>
            </w:r>
          </w:p>
        </w:tc>
      </w:tr>
      <w:tr>
        <w:trPr>
          <w:trHeight w:val="264"/>
        </w:trPr>
        <w:tc>
          <w:tcPr>
            <w:tcW w:w="288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300" w:type="dxa"/>
            <w:vAlign w:val="bottom"/>
          </w:tcPr>
          <w:p>
            <w:pPr>
              <w:spacing w:after="0"/>
              <w:rPr>
                <w:sz w:val="22"/>
                <w:szCs w:val="22"/>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6,162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8,471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14,633</w:t>
            </w:r>
          </w:p>
        </w:tc>
      </w:tr>
      <w:tr>
        <w:trPr>
          <w:trHeight w:val="240"/>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255,796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314,997</w:t>
            </w:r>
          </w:p>
        </w:tc>
      </w:tr>
      <w:tr>
        <w:trPr>
          <w:trHeight w:val="20"/>
        </w:trPr>
        <w:tc>
          <w:tcPr>
            <w:tcW w:w="2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22222"/>
        </w:rPr>
        <w:t>At March 31, 2018, the Company had two outstanding forward contrac</w:t>
      </w:r>
      <w:r>
        <w:rPr>
          <w:rFonts w:ascii="Arial" w:cs="Arial" w:eastAsia="Arial" w:hAnsi="Arial"/>
          <w:sz w:val="18"/>
          <w:szCs w:val="18"/>
          <w:color w:val="000000"/>
        </w:rPr>
        <w:t>ts with notional amounts of 10.0 million Euros and 6.0 million British</w:t>
      </w:r>
      <w:r>
        <w:rPr>
          <w:rFonts w:ascii="Arial" w:cs="Arial" w:eastAsia="Arial" w:hAnsi="Arial"/>
          <w:sz w:val="18"/>
          <w:szCs w:val="18"/>
          <w:color w:val="222222"/>
        </w:rPr>
        <w:t xml:space="preserve"> </w:t>
      </w:r>
      <w:r>
        <w:rPr>
          <w:rFonts w:ascii="Arial" w:cs="Arial" w:eastAsia="Arial" w:hAnsi="Arial"/>
          <w:sz w:val="18"/>
          <w:szCs w:val="18"/>
          <w:color w:val="000000"/>
        </w:rPr>
        <w:t xml:space="preserve">Pounds, respectively, which expired on April 30, 2018. </w:t>
      </w:r>
      <w:r>
        <w:rPr>
          <w:rFonts w:ascii="Arial" w:cs="Arial" w:eastAsia="Arial" w:hAnsi="Arial"/>
          <w:sz w:val="18"/>
          <w:szCs w:val="18"/>
          <w:color w:val="222222"/>
        </w:rPr>
        <w:t>At December 31, 2017, the Company had two outstanding forward contracts with</w:t>
      </w:r>
      <w:r>
        <w:rPr>
          <w:rFonts w:ascii="Arial" w:cs="Arial" w:eastAsia="Arial" w:hAnsi="Arial"/>
          <w:sz w:val="18"/>
          <w:szCs w:val="18"/>
          <w:color w:val="000000"/>
        </w:rPr>
        <w:t xml:space="preserve"> </w:t>
      </w:r>
      <w:r>
        <w:rPr>
          <w:rFonts w:ascii="Arial" w:cs="Arial" w:eastAsia="Arial" w:hAnsi="Arial"/>
          <w:sz w:val="18"/>
          <w:szCs w:val="18"/>
          <w:color w:val="222222"/>
        </w:rPr>
        <w:t xml:space="preserve">notional amounts of 7.0 million Euros and 4.8 million British Pounds, respectively, which expired on January 31, 2018. These </w:t>
      </w:r>
      <w:r>
        <w:rPr>
          <w:rFonts w:ascii="Arial" w:cs="Arial" w:eastAsia="Arial" w:hAnsi="Arial"/>
          <w:sz w:val="18"/>
          <w:szCs w:val="18"/>
          <w:color w:val="231F20"/>
        </w:rPr>
        <w:t>forward contracts</w:t>
      </w:r>
      <w:r>
        <w:rPr>
          <w:rFonts w:ascii="Arial" w:cs="Arial" w:eastAsia="Arial" w:hAnsi="Arial"/>
          <w:sz w:val="18"/>
          <w:szCs w:val="18"/>
          <w:color w:val="222222"/>
        </w:rPr>
        <w:t xml:space="preserve"> </w:t>
      </w:r>
      <w:r>
        <w:rPr>
          <w:rFonts w:ascii="Arial" w:cs="Arial" w:eastAsia="Arial" w:hAnsi="Arial"/>
          <w:sz w:val="18"/>
          <w:szCs w:val="18"/>
          <w:color w:val="231F20"/>
        </w:rPr>
        <w:t xml:space="preserve">were entered into at the end of each month, and thus the fair value of these contracts was </w:t>
      </w:r>
      <w:r>
        <w:rPr>
          <w:rFonts w:ascii="Arial" w:cs="Arial" w:eastAsia="Arial" w:hAnsi="Arial"/>
          <w:sz w:val="18"/>
          <w:szCs w:val="18"/>
          <w:color w:val="000000"/>
        </w:rPr>
        <w:t>$ 0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March 31, 2018</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2017</w:t>
      </w:r>
      <w:r>
        <w:rPr>
          <w:rFonts w:ascii="Arial" w:cs="Arial" w:eastAsia="Arial" w:hAnsi="Arial"/>
          <w:sz w:val="18"/>
          <w:szCs w:val="18"/>
          <w:color w:val="222222"/>
        </w:rPr>
        <w:t>.</w:t>
      </w:r>
      <w:r>
        <w:rPr>
          <w:rFonts w:ascii="Arial" w:cs="Arial" w:eastAsia="Arial" w:hAnsi="Arial"/>
          <w:sz w:val="18"/>
          <w:szCs w:val="18"/>
          <w:color w:val="231F20"/>
        </w:rPr>
        <w:t xml:space="preserve"> These derivatives did not meet the criteria to be designated as hedges. These instruments were valued using Level 2 inputs.</w:t>
      </w:r>
    </w:p>
    <w:p>
      <w:pPr>
        <w:spacing w:after="0" w:line="206"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The following summarizes the gains (losses) recognized in Other income (expense), net on the condensed consolidated statement of operations, from forward contracts and other foreign currency transactions: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5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r>
      <w:tr>
        <w:trPr>
          <w:trHeight w:val="283"/>
        </w:trPr>
        <w:tc>
          <w:tcPr>
            <w:tcW w:w="83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47"/>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2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from forward contracts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foreign currency transactions gain</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foreign exchange gain, net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net, which includes assets under capital lease, consists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8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77,883</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0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21,176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20,447</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5,075</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Assets under capital lease</w:t>
            </w:r>
          </w:p>
        </w:tc>
        <w:tc>
          <w:tcPr>
            <w:tcW w:w="30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Scanner appliances</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14,325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16,348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16,067</w:t>
            </w:r>
          </w:p>
        </w:tc>
      </w:tr>
      <w:tr>
        <w:trPr>
          <w:trHeight w:val="25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property and equipment</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141,660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133,797</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(75,240)</w:t>
            </w:r>
          </w:p>
        </w:tc>
      </w:tr>
      <w:tr>
        <w:trPr>
          <w:trHeight w:val="24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60,696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58,557</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leases by customers have a net carrying value of $6.9 million and $6.8 million at </w:t>
      </w:r>
      <w:r>
        <w:rPr>
          <w:rFonts w:ascii="Arial" w:cs="Arial" w:eastAsia="Arial" w:hAnsi="Arial"/>
          <w:sz w:val="18"/>
          <w:szCs w:val="18"/>
          <w:color w:val="000000"/>
        </w:rPr>
        <w:t>March 31, 2018</w:t>
      </w:r>
      <w:r>
        <w:rPr>
          <w:rFonts w:ascii="Arial" w:cs="Arial" w:eastAsia="Arial" w:hAnsi="Arial"/>
          <w:sz w:val="18"/>
          <w:szCs w:val="18"/>
          <w:color w:val="231F20"/>
        </w:rPr>
        <w:t xml:space="preserve"> and December 31, 2017, respectively, including assets that have not been placed in service of $1.0 million and $0.9 million, respectively. Depreciation and amortization expense relating to property and equipment, including capitalized leases, was $ 6.4 million and $ 4.7 million 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and 2017, respectively. Accumulated depreciation under capital leases was $0.2 million at </w:t>
      </w:r>
      <w:r>
        <w:rPr>
          <w:rFonts w:ascii="Arial" w:cs="Arial" w:eastAsia="Arial" w:hAnsi="Arial"/>
          <w:sz w:val="18"/>
          <w:szCs w:val="18"/>
          <w:color w:val="000000"/>
        </w:rPr>
        <w:t>March 31, 2018</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Revenue from Contracts with Customers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2014, the FASB issued a new standard related to revenue recognition. Under the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January 1, 2018, the Company adopted ASC 606 using the modified retrospective method applied to those contracts which were not completed as of that date. Results for reporting periods beginning after January 1, 2018 are presented under ASC 606, while prior period amounts are not adjusted and continue to be reported under the accounting standards in effect for the prior period. The Company implemented internal controls and key system functionality to enable the preparation of financial information on adoption. The impact of the standard relates to the Company's accounting for sales commissions. The Company previously expensed sales commissions as incurred. Under ASC 606, the Company is required to capitalize certain contract acquisition costs consisting primarily of commissions paid related to new business and upsells. Applying the practical expedient in ASC 340-40-25-4, the Company expenses commissions related to contract renewals with a renewal contract term of one year or less.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the adoption, the Company recorded an increase to retained earnings of $2.7 million as of January 1, 2018 which was the net cumulative impact associated with the capitalization of sales commissions. Additionally, the Company recorded a corresponding commission asset balance of $3.5 million and a related deferred tax liability of $0.8 million as of January 1, 2018. There was no impact to the Company's revenues as a result of adopting ASC 606.</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expenses the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 The Company has elected the practical expedient for sales commissions related to renewals and expenses these as and when incurred because the amortization period would have been one year or less.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 asset balances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19"/>
                <w:szCs w:val="19"/>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1, 2018</w:t>
            </w: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Commission asset, current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r>
      <w:tr>
        <w:trPr>
          <w:trHeight w:val="251"/>
        </w:trPr>
        <w:tc>
          <w:tcPr>
            <w:tcW w:w="7900" w:type="dxa"/>
            <w:vAlign w:val="bottom"/>
          </w:tcPr>
          <w:p>
            <w:pPr>
              <w:ind w:left="40"/>
              <w:spacing w:after="0"/>
              <w:rPr>
                <w:sz w:val="20"/>
                <w:szCs w:val="20"/>
                <w:color w:val="auto"/>
              </w:rPr>
            </w:pPr>
            <w:r>
              <w:rPr>
                <w:rFonts w:ascii="Arial" w:cs="Arial" w:eastAsia="Arial" w:hAnsi="Arial"/>
                <w:sz w:val="16"/>
                <w:szCs w:val="16"/>
                <w:color w:val="auto"/>
              </w:rPr>
              <w:t>Commission asset, noncurrent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2,819</w:t>
            </w:r>
          </w:p>
        </w:tc>
      </w:tr>
    </w:tbl>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three months ended March 31, 2018, the Company recognized $0.2 million of commission expense from amortization of its commission assets. There was no impairment loss related to capitalized costs. No contract costs were capitalized in the three months ended March 31, 2017.</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(deferred revenue) balances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March 31, 2018</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ASC 606</w:t>
            </w:r>
          </w:p>
        </w:tc>
        <w:tc>
          <w:tcPr>
            <w:tcW w:w="180" w:type="dxa"/>
            <w:vAlign w:val="bottom"/>
          </w:tcPr>
          <w:p>
            <w:pPr>
              <w:spacing w:after="0"/>
              <w:rPr>
                <w:sz w:val="22"/>
                <w:szCs w:val="22"/>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Operating Leases</w:t>
            </w:r>
          </w:p>
        </w:tc>
        <w:tc>
          <w:tcPr>
            <w:tcW w:w="420" w:type="dxa"/>
            <w:vAlign w:val="bottom"/>
          </w:tcPr>
          <w:p>
            <w:pPr>
              <w:spacing w:after="0"/>
              <w:rPr>
                <w:sz w:val="22"/>
                <w:szCs w:val="22"/>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135,144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12,512</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147,656</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revenue, noncurrent</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14,995</w:t>
            </w:r>
          </w:p>
        </w:tc>
      </w:tr>
      <w:tr>
        <w:trPr>
          <w:trHeight w:val="24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148,747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13,904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162,651</w:t>
            </w: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January 1, 2018</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ASC 606</w:t>
            </w:r>
          </w:p>
        </w:tc>
        <w:tc>
          <w:tcPr>
            <w:tcW w:w="180" w:type="dxa"/>
            <w:vAlign w:val="bottom"/>
          </w:tcPr>
          <w:p>
            <w:pPr>
              <w:spacing w:after="0"/>
              <w:rPr>
                <w:sz w:val="22"/>
                <w:szCs w:val="22"/>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Operating Leases</w:t>
            </w:r>
          </w:p>
        </w:tc>
        <w:tc>
          <w:tcPr>
            <w:tcW w:w="420" w:type="dxa"/>
            <w:vAlign w:val="bottom"/>
          </w:tcPr>
          <w:p>
            <w:pPr>
              <w:spacing w:after="0"/>
              <w:rPr>
                <w:sz w:val="22"/>
                <w:szCs w:val="22"/>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130,579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12,607</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143,186</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revenue, noncurrent</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17,136</w:t>
            </w:r>
          </w:p>
        </w:tc>
      </w:tr>
      <w:tr>
        <w:trPr>
          <w:trHeight w:val="24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145,998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14,324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160,322</w:t>
            </w: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The increase in the Company's deferred revenue balances for the three months ended March 31, 2018 is primarily driven by cash payments received or due in advance of satisfying the Company's performance obligations, offset by $55.6 million of revenue recognized in the three months ended March 31, 2018, which was included in the deferred revenue balance as of December 31, 2017.</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performance obligations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the professional services as they are performed.</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allocates the transaction price to all separate performance obligations, including transactions that are comprised of lease revenue, in proportion to the standalone selling prices ("SSP") of the goods or services underlying each of those performance obligations at contract inception. If a SSP is not directly observable, the Company determines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volume purchased in determining the SSP. The Company's transaction prices are typically a fixed amount for a specific period of time and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Consideration is fixed at the time of the contract, and governed by the price list to which that particular customer is subject. The Company’s customer and partner-specific pricing is negotiated and agreed upon via individual customer contracts. In some of its contracts, the Company incorporates tiered pricing based on the number of IP addresses the customer can scan. As customers are required to purchase larger quantities to qualify for the lower-priced tiers, the Company does not grant its customers any material rights. When customers increase their purchased quantities, the Company accounts for the additional purchased quantities and related price change prospectively as the pricing does not impact subscription services previously provided. Physical equipment (scanners and private cloud platforms) are accounted for as operating leases and revenue is recognized over the subscription term.</w:t>
      </w: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19"/>
                <w:szCs w:val="19"/>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1, 2018</w:t>
            </w: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ASC 606 receivables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46,234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60,984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Operating lease receivables</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4,442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4,244</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allowance for doubtful accounts</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r>
      <w:tr>
        <w:trPr>
          <w:trHeight w:val="240"/>
        </w:trPr>
        <w:tc>
          <w:tcPr>
            <w:tcW w:w="7900" w:type="dxa"/>
            <w:vAlign w:val="bottom"/>
          </w:tcPr>
          <w:p>
            <w:pPr>
              <w:ind w:left="40"/>
              <w:spacing w:after="0"/>
              <w:rPr>
                <w:sz w:val="20"/>
                <w:szCs w:val="20"/>
                <w:color w:val="auto"/>
              </w:rPr>
            </w:pPr>
            <w:r>
              <w:rPr>
                <w:rFonts w:ascii="Arial" w:cs="Arial" w:eastAsia="Arial" w:hAnsi="Arial"/>
                <w:sz w:val="16"/>
                <w:szCs w:val="16"/>
                <w:color w:val="auto"/>
              </w:rPr>
              <w:t>Total accounts receivable,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49,874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64,412</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March 31, 2018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ASC 606 Revenues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Operating Lease Revenues</w:t>
            </w:r>
          </w:p>
        </w:tc>
        <w:tc>
          <w:tcPr>
            <w:tcW w:w="440" w:type="dxa"/>
            <w:vAlign w:val="bottom"/>
          </w:tcPr>
          <w:p>
            <w:pPr>
              <w:spacing w:after="0"/>
              <w:rPr>
                <w:sz w:val="19"/>
                <w:szCs w:val="19"/>
                <w:color w:val="auto"/>
              </w:rPr>
            </w:pPr>
          </w:p>
        </w:tc>
        <w:tc>
          <w:tcPr>
            <w:tcW w:w="2280" w:type="dxa"/>
            <w:vAlign w:val="bottom"/>
          </w:tcPr>
          <w:p>
            <w:pPr>
              <w:jc w:val="right"/>
              <w:ind w:right="699"/>
              <w:spacing w:after="0"/>
              <w:rPr>
                <w:sz w:val="20"/>
                <w:szCs w:val="20"/>
                <w:color w:val="auto"/>
              </w:rPr>
            </w:pPr>
            <w:r>
              <w:rPr>
                <w:rFonts w:ascii="Arial" w:cs="Arial" w:eastAsia="Arial" w:hAnsi="Arial"/>
                <w:sz w:val="16"/>
                <w:szCs w:val="16"/>
                <w:b w:val="1"/>
                <w:bCs w:val="1"/>
                <w:color w:val="auto"/>
              </w:rPr>
              <w:t>Total Revenues</w:t>
            </w:r>
          </w:p>
        </w:tc>
      </w:tr>
      <w:tr>
        <w:trPr>
          <w:trHeight w:val="257"/>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 (remaining nine months)</w:t>
            </w:r>
          </w:p>
        </w:tc>
        <w:tc>
          <w:tcPr>
            <w:tcW w:w="2140" w:type="dxa"/>
            <w:vAlign w:val="bottom"/>
            <w:tcBorders>
              <w:top w:val="single" w:sz="8" w:color="auto"/>
            </w:tcBorders>
            <w:shd w:val="clear" w:color="auto" w:fill="CCEEFF"/>
          </w:tcPr>
          <w:p>
            <w:pPr>
              <w:jc w:val="right"/>
              <w:ind w:right="19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8,290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8,551</w:t>
            </w:r>
          </w:p>
        </w:tc>
      </w:tr>
      <w:tr>
        <w:trPr>
          <w:trHeight w:val="260"/>
        </w:trPr>
        <w:tc>
          <w:tcPr>
            <w:tcW w:w="2980" w:type="dxa"/>
            <w:vAlign w:val="bottom"/>
          </w:tcPr>
          <w:p>
            <w:pPr>
              <w:ind w:left="40"/>
              <w:spacing w:after="0"/>
              <w:rPr>
                <w:sz w:val="20"/>
                <w:szCs w:val="20"/>
                <w:color w:val="auto"/>
              </w:rPr>
            </w:pPr>
            <w:r>
              <w:rPr>
                <w:rFonts w:ascii="Arial" w:cs="Arial" w:eastAsia="Arial" w:hAnsi="Arial"/>
                <w:sz w:val="16"/>
                <w:szCs w:val="16"/>
                <w:color w:val="auto"/>
              </w:rPr>
              <w:t>2019</w:t>
            </w:r>
          </w:p>
        </w:tc>
        <w:tc>
          <w:tcPr>
            <w:tcW w:w="214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14,724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ind w:right="19"/>
              <w:spacing w:after="0"/>
              <w:rPr>
                <w:sz w:val="20"/>
                <w:szCs w:val="20"/>
                <w:color w:val="auto"/>
              </w:rPr>
            </w:pPr>
            <w:r>
              <w:rPr>
                <w:rFonts w:ascii="Arial" w:cs="Arial" w:eastAsia="Arial" w:hAnsi="Arial"/>
                <w:sz w:val="16"/>
                <w:szCs w:val="16"/>
                <w:color w:val="auto"/>
              </w:rPr>
              <w:t>15,792</w:t>
            </w:r>
          </w:p>
        </w:tc>
      </w:tr>
      <w:tr>
        <w:trPr>
          <w:trHeight w:val="28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8,367</w:t>
            </w:r>
          </w:p>
        </w:tc>
      </w:tr>
      <w:tr>
        <w:trPr>
          <w:trHeight w:val="260"/>
        </w:trPr>
        <w:tc>
          <w:tcPr>
            <w:tcW w:w="2980" w:type="dxa"/>
            <w:vAlign w:val="bottom"/>
          </w:tcPr>
          <w:p>
            <w:pPr>
              <w:ind w:left="40"/>
              <w:spacing w:after="0"/>
              <w:rPr>
                <w:sz w:val="20"/>
                <w:szCs w:val="20"/>
                <w:color w:val="auto"/>
              </w:rPr>
            </w:pPr>
            <w:r>
              <w:rPr>
                <w:rFonts w:ascii="Arial" w:cs="Arial" w:eastAsia="Arial" w:hAnsi="Arial"/>
                <w:sz w:val="16"/>
                <w:szCs w:val="16"/>
                <w:color w:val="auto"/>
              </w:rPr>
              <w:t>2021</w:t>
            </w:r>
          </w:p>
        </w:tc>
        <w:tc>
          <w:tcPr>
            <w:tcW w:w="214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ind w:right="19"/>
              <w:spacing w:after="0"/>
              <w:rPr>
                <w:sz w:val="20"/>
                <w:szCs w:val="20"/>
                <w:color w:val="auto"/>
              </w:rPr>
            </w:pPr>
            <w:r>
              <w:rPr>
                <w:rFonts w:ascii="Arial" w:cs="Arial" w:eastAsia="Arial" w:hAnsi="Arial"/>
                <w:sz w:val="16"/>
                <w:szCs w:val="16"/>
                <w:color w:val="auto"/>
              </w:rPr>
              <w:t>2,541</w:t>
            </w:r>
          </w:p>
        </w:tc>
      </w:tr>
      <w:tr>
        <w:trPr>
          <w:trHeight w:val="28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1,795</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2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1,217</w:t>
            </w:r>
          </w:p>
        </w:tc>
      </w:tr>
      <w:tr>
        <w:trPr>
          <w:trHeight w:val="24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140" w:type="dxa"/>
            <w:vAlign w:val="bottom"/>
            <w:tcBorders>
              <w:bottom w:val="single" w:sz="8" w:color="auto"/>
            </w:tcBorders>
            <w:shd w:val="clear" w:color="auto" w:fill="CCEEFF"/>
          </w:tcPr>
          <w:p>
            <w:pPr>
              <w:jc w:val="right"/>
              <w:ind w:right="1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36,480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38,263</w:t>
            </w:r>
          </w:p>
        </w:tc>
      </w:tr>
      <w:tr>
        <w:trPr>
          <w:trHeight w:val="20"/>
        </w:trPr>
        <w:tc>
          <w:tcPr>
            <w:tcW w:w="29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 allocated to remaining performance obligations represents contracted revenue that has not yet been recognized, which includes unearned revenue and amounts that will be invoiced and recognized as revenue in future periods. Remaining performance obligations represents the transaction price of firm orders for which service has not been performed and excludes unexercised renewals.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does not consider these contracts to contain a financing component as its customers typically initiate the longer terms, and the Company's reasoning for entering into the longer terms is not based on financing.</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sales channel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rPr>
              <w:t>Three Months Ended March 31, 2018</w:t>
            </w:r>
          </w:p>
        </w:tc>
      </w:tr>
      <w:tr>
        <w:trPr>
          <w:trHeight w:val="198"/>
        </w:trPr>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Operating Lease</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8"/>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ASC 606 Revenues</w:t>
            </w:r>
          </w:p>
        </w:tc>
        <w:tc>
          <w:tcPr>
            <w:tcW w:w="1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9"/>
                <w:szCs w:val="19"/>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 Revenues</w:t>
            </w:r>
          </w:p>
        </w:tc>
      </w:tr>
      <w:tr>
        <w:trPr>
          <w:trHeight w:val="257"/>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34,968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38,710</w:t>
            </w:r>
          </w:p>
        </w:tc>
      </w:tr>
      <w:tr>
        <w:trPr>
          <w:trHeight w:val="26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Partner</w:t>
            </w: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26,168</w:t>
            </w:r>
          </w:p>
        </w:tc>
      </w:tr>
      <w:tr>
        <w:trPr>
          <w:trHeight w:val="250"/>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59,203</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5,675</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64,878</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rPr>
              <w:t>Three Months Ended March 31, 2017</w:t>
            </w:r>
          </w:p>
        </w:tc>
      </w:tr>
      <w:tr>
        <w:trPr>
          <w:trHeight w:val="198"/>
        </w:trPr>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Operating Lease</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8"/>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ASC 606 Revenues</w:t>
            </w:r>
          </w:p>
        </w:tc>
        <w:tc>
          <w:tcPr>
            <w:tcW w:w="1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9"/>
                <w:szCs w:val="19"/>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 Revenues</w:t>
            </w:r>
          </w:p>
        </w:tc>
      </w:tr>
      <w:tr>
        <w:trPr>
          <w:trHeight w:val="257"/>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27,620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3,394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31,014</w:t>
            </w:r>
          </w:p>
        </w:tc>
      </w:tr>
      <w:tr>
        <w:trPr>
          <w:trHeight w:val="26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Partner</w:t>
            </w: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20,259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22,107</w:t>
            </w:r>
          </w:p>
        </w:tc>
      </w:tr>
      <w:tr>
        <w:trPr>
          <w:trHeight w:val="26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53,121</w:t>
            </w:r>
          </w:p>
        </w:tc>
      </w:tr>
      <w:tr>
        <w:trPr>
          <w:trHeight w:val="20"/>
        </w:trPr>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wells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11, "Segment Information and Information about Geographic Area" for disaggregation of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Goodwill and Intangible Assets, Net</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Intangible assets consist primarily of developed technology and patent licenses acquired in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 except for years):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auto"/>
              </w:rPr>
              <w:t>March 31, 2018</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4.5</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11,088</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6.4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11,729</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11,769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December 31, 2017</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14,067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6.7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12,361</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Intangible asset amortization expense was $0.6 million and $0.1 million 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respectively.</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w:t>
      </w:r>
      <w:r>
        <w:rPr>
          <w:rFonts w:ascii="Arial" w:cs="Arial" w:eastAsia="Arial" w:hAnsi="Arial"/>
          <w:sz w:val="18"/>
          <w:szCs w:val="18"/>
          <w:color w:val="231F20"/>
        </w:rPr>
        <w:t>, the Company expects amortization expense in future periods to be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 (remaining nine months)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1,899</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2,531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2,531</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2,531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2,071</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r>
      <w:tr>
        <w:trPr>
          <w:trHeight w:val="237"/>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11,729</w:t>
            </w: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$1.5 million</w:t>
      </w:r>
      <w:r>
        <w:rPr>
          <w:rFonts w:ascii="Arial" w:cs="Arial" w:eastAsia="Arial" w:hAnsi="Arial"/>
          <w:sz w:val="18"/>
          <w:szCs w:val="18"/>
          <w:color w:val="231F20"/>
        </w:rPr>
        <w:t xml:space="preserve"> as of each of </w:t>
      </w:r>
      <w:r>
        <w:rPr>
          <w:rFonts w:ascii="Arial" w:cs="Arial" w:eastAsia="Arial" w:hAnsi="Arial"/>
          <w:sz w:val="18"/>
          <w:szCs w:val="18"/>
          <w:color w:val="000000"/>
        </w:rPr>
        <w:t>March 31, 2018</w:t>
      </w:r>
      <w:r>
        <w:rPr>
          <w:rFonts w:ascii="Arial" w:cs="Arial" w:eastAsia="Arial" w:hAnsi="Arial"/>
          <w:sz w:val="18"/>
          <w:szCs w:val="18"/>
          <w:color w:val="231F20"/>
        </w:rPr>
        <w:t xml:space="preserve"> and December 31,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Commitments and Contingencies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 In January 2018, the Company entered into a $3.5 million financing arrangement for data center storage equipment, accounted for as a capital lease, with an implied interest rate of 5%.</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March 31, 2018</w:t>
      </w:r>
      <w:r>
        <w:rPr>
          <w:rFonts w:ascii="Arial" w:cs="Arial" w:eastAsia="Arial" w:hAnsi="Arial"/>
          <w:sz w:val="18"/>
          <w:szCs w:val="18"/>
          <w:color w:val="231F20"/>
        </w:rPr>
        <w:t xml:space="preserve">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47"/>
        </w:trPr>
        <w:tc>
          <w:tcPr>
            <w:tcW w:w="7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80" w:type="dxa"/>
            <w:vAlign w:val="bottom"/>
            <w:gridSpan w:val="3"/>
          </w:tcPr>
          <w:p>
            <w:pPr>
              <w:jc w:val="right"/>
              <w:ind w:right="11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5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 (remaining nine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6,912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33"/>
        </w:trPr>
        <w:tc>
          <w:tcPr>
            <w:tcW w:w="7780" w:type="dxa"/>
            <w:vAlign w:val="bottom"/>
          </w:tcPr>
          <w:p>
            <w:pPr>
              <w:ind w:left="40"/>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5,786</w:t>
            </w:r>
          </w:p>
        </w:tc>
        <w:tc>
          <w:tcPr>
            <w:tcW w:w="2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5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5,407</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3"/>
        </w:trPr>
        <w:tc>
          <w:tcPr>
            <w:tcW w:w="7780" w:type="dxa"/>
            <w:vAlign w:val="bottom"/>
          </w:tcPr>
          <w:p>
            <w:pPr>
              <w:ind w:left="4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4,662</w:t>
            </w:r>
          </w:p>
        </w:tc>
        <w:tc>
          <w:tcPr>
            <w:tcW w:w="2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3"/>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4,140</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22,000</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48,907</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2,894</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line="20" w:lineRule="exact"/>
              <w:rPr>
                <w:sz w:val="1"/>
                <w:szCs w:val="1"/>
                <w:color w:val="auto"/>
              </w:rPr>
            </w:pPr>
          </w:p>
        </w:tc>
      </w:tr>
      <w:tr>
        <w:trPr>
          <w:trHeight w:val="247"/>
        </w:trPr>
        <w:tc>
          <w:tcPr>
            <w:tcW w:w="77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Present value of minimum payments</w:t>
            </w: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2,755</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6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 noncurrent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Rent expense was $2.2 million and $1.9 million 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 xml:space="preserve">, respectively. Although certain of the operating lease agreements provide for rent free periods or escalating rent payments over the terms of the leases, rent expense under these agreements is recognized on a straight-line basis over the term of the lease, starting when the Company takes possession of the property from the landlord. As of </w:t>
      </w:r>
      <w:r>
        <w:rPr>
          <w:rFonts w:ascii="Arial" w:cs="Arial" w:eastAsia="Arial" w:hAnsi="Arial"/>
          <w:sz w:val="18"/>
          <w:szCs w:val="18"/>
          <w:color w:val="000000"/>
        </w:rPr>
        <w:t>March 31, 2018</w:t>
      </w:r>
      <w:r>
        <w:rPr>
          <w:rFonts w:ascii="Arial" w:cs="Arial" w:eastAsia="Arial" w:hAnsi="Arial"/>
          <w:sz w:val="18"/>
          <w:szCs w:val="18"/>
          <w:color w:val="231F20"/>
        </w:rPr>
        <w:t xml:space="preserve"> and </w:t>
      </w:r>
      <w:r>
        <w:rPr>
          <w:rFonts w:ascii="Arial" w:cs="Arial" w:eastAsia="Arial" w:hAnsi="Arial"/>
          <w:sz w:val="18"/>
          <w:szCs w:val="18"/>
          <w:color w:val="000000"/>
        </w:rPr>
        <w:t>December 31, 2017</w:t>
      </w:r>
      <w:r>
        <w:rPr>
          <w:rFonts w:ascii="Arial" w:cs="Arial" w:eastAsia="Arial" w:hAnsi="Arial"/>
          <w:sz w:val="18"/>
          <w:szCs w:val="18"/>
          <w:color w:val="231F20"/>
        </w:rPr>
        <w:t>, the Company had accrued $10.2 million and $9.5 million, respectively, of deferred rent related to these agreements, which is reflected in accrued liabilities and other non-current liabilities in the accompanying condensed consolidated balance sheets.</w:t>
      </w:r>
    </w:p>
    <w:p>
      <w:pPr>
        <w:spacing w:after="0" w:line="16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On October 14, 2016, the Company entered into a lease agreement for its new headquarters office facility. The lease payments commenced on May 1, 2018 and the lease has a ten-year term through April 30, 2028. The total commitment of $38.6 million is payable monthly with escalating rental payments throughout the lease term. </w:t>
      </w:r>
      <w:r>
        <w:rPr>
          <w:rFonts w:ascii="Arial" w:cs="Arial" w:eastAsia="Arial" w:hAnsi="Arial"/>
          <w:sz w:val="18"/>
          <w:szCs w:val="18"/>
          <w:color w:val="000000"/>
        </w:rPr>
        <w:t>In connection with this lease, the Company has provided the landlord with a</w:t>
      </w:r>
      <w:r>
        <w:rPr>
          <w:rFonts w:ascii="Arial" w:cs="Arial" w:eastAsia="Arial" w:hAnsi="Arial"/>
          <w:sz w:val="18"/>
          <w:szCs w:val="18"/>
          <w:color w:val="231F20"/>
        </w:rPr>
        <w:t xml:space="preserve"> </w:t>
      </w:r>
      <w:r>
        <w:rPr>
          <w:rFonts w:ascii="Arial" w:cs="Arial" w:eastAsia="Arial" w:hAnsi="Arial"/>
          <w:sz w:val="18"/>
          <w:szCs w:val="18"/>
          <w:color w:val="000000"/>
        </w:rPr>
        <w:t>$1.2 million standby letter of credit to secure the Company’s obligations through the end of the lease term, which was classified as restricted cash in the accompanying condensed consolidated balance sheets.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The Company regularly licenses technology from various third party licensors. From time to time, the Company is audited by its licensors for compliance with the terms of the license agreements. During the quarter ended March 31, 2018, the Company commenced discussions with one of its vendors with respect to compliance with the terms of the license agreement. The Company intends to cooperate with the licensor while defending itself vigorously to bring the review process to a resolution. The Company accrues for losses on individual matters that are both probable and reasonably estimable. Estimates are based on currently available information and assumptions. Significant judgment is required in both the determination of probability and the determination of whether a matter is reasonably estimable. The Company’s estimates may change and actual expenses could differ in the future as additional information becomes available or as the Company reaches agreements with its vendors. Management currently estimates that it has sufficiently accrued for licensing agreement matters and that the range of loss (in excess of amounts accrued) is not significant.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11,791,139 shares of common stock. Options may be granted with an exercise price that is at least equal to the fair market value of the Company's stock at the date of grant and are exercisable when vested. As of March 31, 2018, </w:t>
      </w:r>
      <w:r>
        <w:rPr>
          <w:rFonts w:ascii="Arial" w:cs="Arial" w:eastAsia="Arial" w:hAnsi="Arial"/>
          <w:sz w:val="18"/>
          <w:szCs w:val="18"/>
          <w:color w:val="000000"/>
        </w:rPr>
        <w:t>4,186,394</w:t>
      </w:r>
      <w:r>
        <w:rPr>
          <w:rFonts w:ascii="Arial" w:cs="Arial" w:eastAsia="Arial" w:hAnsi="Arial"/>
          <w:sz w:val="18"/>
          <w:szCs w:val="18"/>
          <w:color w:val="231F20"/>
        </w:rPr>
        <w:t xml:space="preserve">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The following table shows a summary of the stock-based compensation expense included in the condensed consolidated statements of operations 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and </w:t>
      </w:r>
      <w:r>
        <w:rPr>
          <w:rFonts w:ascii="Arial" w:cs="Arial" w:eastAsia="Arial" w:hAnsi="Arial"/>
          <w:sz w:val="18"/>
          <w:szCs w:val="18"/>
          <w:color w:val="000000"/>
        </w:rPr>
        <w:t>2017</w:t>
      </w:r>
      <w:r>
        <w:rPr>
          <w:rFonts w:ascii="Arial" w:cs="Arial" w:eastAsia="Arial" w:hAnsi="Arial"/>
          <w:sz w:val="18"/>
          <w:szCs w:val="18"/>
          <w:color w:val="231F20"/>
        </w:rPr>
        <w: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54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r>
      <w:tr>
        <w:trPr>
          <w:trHeight w:val="283"/>
        </w:trPr>
        <w:tc>
          <w:tcPr>
            <w:tcW w:w="83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247"/>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80" w:type="dxa"/>
            <w:vAlign w:val="bottom"/>
            <w:gridSpan w:val="3"/>
          </w:tcPr>
          <w:p>
            <w:pPr>
              <w:jc w:val="center"/>
              <w:ind w:right="29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1,221</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1,084</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4,995</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1,526</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8,891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w:t>
      </w:r>
      <w:r>
        <w:rPr>
          <w:rFonts w:ascii="Arial" w:cs="Arial" w:eastAsia="Arial" w:hAnsi="Arial"/>
          <w:sz w:val="18"/>
          <w:szCs w:val="18"/>
          <w:color w:val="231F20"/>
        </w:rPr>
        <w:t xml:space="preserve">, the Company had $14.5 million of total unrecognized employee compensation cost related to unvested options that it expects to recognize over a weighted-average period of 2.2 years, and $41.8 million </w:t>
      </w:r>
      <w:r>
        <w:rPr>
          <w:rFonts w:ascii="Arial" w:cs="Arial" w:eastAsia="Arial" w:hAnsi="Arial"/>
          <w:sz w:val="18"/>
          <w:szCs w:val="18"/>
          <w:color w:val="000000"/>
        </w:rPr>
        <w:t>of unrecognized employee compensation cost</w:t>
      </w:r>
      <w:r>
        <w:rPr>
          <w:rFonts w:ascii="Arial" w:cs="Arial" w:eastAsia="Arial" w:hAnsi="Arial"/>
          <w:sz w:val="18"/>
          <w:szCs w:val="18"/>
          <w:color w:val="231F20"/>
        </w:rPr>
        <w:t xml:space="preserve"> </w:t>
      </w:r>
      <w:r>
        <w:rPr>
          <w:rFonts w:ascii="Arial" w:cs="Arial" w:eastAsia="Arial" w:hAnsi="Arial"/>
          <w:sz w:val="18"/>
          <w:szCs w:val="18"/>
          <w:color w:val="000000"/>
        </w:rPr>
        <w:t xml:space="preserve">related to unvested awards that it expects to recognize over a weighted-average period of 2.9 years. </w:t>
      </w:r>
      <w:r>
        <w:rPr>
          <w:rFonts w:ascii="Arial" w:cs="Arial" w:eastAsia="Arial" w:hAnsi="Arial"/>
          <w:sz w:val="18"/>
          <w:szCs w:val="18"/>
          <w:color w:val="231F20"/>
        </w:rPr>
        <w:t>Compensation cost is recognized on a</w:t>
      </w:r>
      <w:r>
        <w:rPr>
          <w:rFonts w:ascii="Arial" w:cs="Arial" w:eastAsia="Arial" w:hAnsi="Arial"/>
          <w:sz w:val="18"/>
          <w:szCs w:val="18"/>
          <w:color w:val="000000"/>
        </w:rPr>
        <w:t xml:space="preserve"> </w:t>
      </w:r>
      <w:r>
        <w:rPr>
          <w:rFonts w:ascii="Arial" w:cs="Arial" w:eastAsia="Arial" w:hAnsi="Arial"/>
          <w:sz w:val="18"/>
          <w:szCs w:val="18"/>
          <w:color w:val="231F20"/>
        </w:rPr>
        <w:t>straight-line basis over the service period. Forfeitures are estimated at the time of grant and revised, if necessary, in subsequent periods if actual forfeitures differ from those estimates.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228"/>
        </w:trPr>
        <w:tc>
          <w:tcPr>
            <w:tcW w:w="5260" w:type="dxa"/>
            <w:vAlign w:val="bottom"/>
          </w:tcPr>
          <w:p>
            <w:pPr>
              <w:spacing w:after="0"/>
              <w:rPr>
                <w:sz w:val="19"/>
                <w:szCs w:val="19"/>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Intrinsic Value</w:t>
            </w:r>
          </w:p>
        </w:tc>
      </w:tr>
      <w:tr>
        <w:trPr>
          <w:trHeight w:val="260"/>
        </w:trPr>
        <w:tc>
          <w:tcPr>
            <w:tcW w:w="52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4,495,891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153,129</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61,850</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59.95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(286,597)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27.68</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(83,608)</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38.62</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2018</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4,187,536</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198,395,610</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Vested and expected to vest - March 31, 2018</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3,969,350</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24.76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190,509,569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March 31, 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2,895,704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147,268,457</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and RSA activity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7900" w:type="dxa"/>
            <w:vAlign w:val="bottom"/>
          </w:tcPr>
          <w:p>
            <w:pPr>
              <w:spacing w:after="0"/>
              <w:rPr>
                <w:sz w:val="16"/>
                <w:szCs w:val="16"/>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auto"/>
              </w:rPr>
              <w:t>Outstanding RSUs</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Grant Date Fair Value</w:t>
            </w:r>
          </w:p>
        </w:tc>
      </w:tr>
      <w:tr>
        <w:trPr>
          <w:trHeight w:val="228"/>
        </w:trPr>
        <w:tc>
          <w:tcPr>
            <w:tcW w:w="7900" w:type="dxa"/>
            <w:vAlign w:val="bottom"/>
          </w:tcPr>
          <w:p>
            <w:pPr>
              <w:spacing w:after="0"/>
              <w:rPr>
                <w:sz w:val="19"/>
                <w:szCs w:val="19"/>
                <w:color w:val="auto"/>
              </w:rPr>
            </w:pP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and RSAs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Per Share</w:t>
            </w:r>
          </w:p>
        </w:tc>
      </w:tr>
      <w:tr>
        <w:trPr>
          <w:trHeight w:val="284"/>
        </w:trPr>
        <w:tc>
          <w:tcPr>
            <w:tcW w:w="7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1,410,588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40.34</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92,232</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59.95</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(158,561)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37.96</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(54,410)</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39.92</w:t>
            </w: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2018</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1,289,849</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42.05</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7"/>
        </w:trPr>
        <w:tc>
          <w:tcPr>
            <w:tcW w:w="7900" w:type="dxa"/>
            <w:vAlign w:val="bottom"/>
          </w:tcPr>
          <w:p>
            <w:pPr>
              <w:ind w:left="40"/>
              <w:spacing w:after="0"/>
              <w:rPr>
                <w:sz w:val="20"/>
                <w:szCs w:val="20"/>
                <w:color w:val="auto"/>
              </w:rPr>
            </w:pPr>
            <w:r>
              <w:rPr>
                <w:rFonts w:ascii="Arial" w:cs="Arial" w:eastAsia="Arial" w:hAnsi="Arial"/>
                <w:sz w:val="16"/>
                <w:szCs w:val="16"/>
                <w:color w:val="auto"/>
              </w:rPr>
              <w:t>Outstanding and expected to vest - March 31, 2018</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1,124,366</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41.45</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4"/>
          </w:tcPr>
          <w:p>
            <w:pPr>
              <w:jc w:val="center"/>
              <w:spacing w:after="0"/>
              <w:rPr>
                <w:sz w:val="20"/>
                <w:szCs w:val="20"/>
                <w:color w:val="auto"/>
              </w:rPr>
            </w:pPr>
            <w:r>
              <w:rPr>
                <w:rFonts w:ascii="Arial" w:cs="Arial" w:eastAsia="Arial" w:hAnsi="Arial"/>
                <w:sz w:val="16"/>
                <w:szCs w:val="16"/>
                <w:b w:val="1"/>
                <w:bCs w:val="1"/>
                <w:color w:val="auto"/>
              </w:rPr>
              <w:t>(in thousands, except per share data)</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9,142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21,930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38,789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36,493</w:t>
            </w:r>
          </w:p>
        </w:tc>
      </w:tr>
      <w:tr>
        <w:trPr>
          <w:trHeight w:val="260"/>
        </w:trPr>
        <w:tc>
          <w:tcPr>
            <w:tcW w:w="8340" w:type="dxa"/>
            <w:vAlign w:val="bottom"/>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3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2,176</w:t>
            </w:r>
          </w:p>
        </w:tc>
      </w:tr>
      <w:tr>
        <w:trPr>
          <w:trHeight w:val="264"/>
        </w:trPr>
        <w:tc>
          <w:tcPr>
            <w:tcW w:w="834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Restricted stock units</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41,934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38,845</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3"/>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8340" w:type="dxa"/>
            <w:vAlign w:val="bottom"/>
          </w:tcPr>
          <w:p>
            <w:pPr>
              <w:ind w:left="2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0.56</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214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2140" w:type="dxa"/>
            <w:vAlign w:val="bottom"/>
            <w:gridSpan w:val="3"/>
          </w:tcPr>
          <w:p>
            <w:pPr>
              <w:jc w:val="center"/>
              <w:ind w:left="89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1,432</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14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834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February 5, 2018, the Company's Board of Directors authorized a $100.0 million share repurchase program, which was announced on February 12, 2018. The stock repurchase authorization does not have an expiration date. The Company's stock repurchases may be effected from time to time through open market purchases. Repurchased shares are retired and reclassified as authorized and unissued shares of common stock. On retirement of the repurchased shares, common stock is reduced by an amount equal to the number of shares being retired multiplied by the par value. The excess of the cost of treasury stock that is retired over its par value is first allocated as a reduction to additional paid-in capital based on the initial public offering price of the stock, with the remaining excess to retained earnings.</w:t>
      </w:r>
    </w:p>
    <w:p>
      <w:pPr>
        <w:spacing w:after="0" w:line="20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During the three months ended March 31, 2018, the Company repurchased 21,288 shares for approximately $1.5 million. All share repurchases were made using cash resources. As of March 31, 2018, approximately $98.5 million remained available for share repurchases pursuant to the Company's share repurchase program.</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41"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Our tax provision for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w:t>
      </w:r>
    </w:p>
    <w:p>
      <w:pPr>
        <w:spacing w:after="0" w:line="202"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8"/>
          <w:szCs w:val="18"/>
          <w:color w:val="231F20"/>
        </w:rPr>
        <w:t>Our quarterly tax provision, and estimate of our annual effective tax rate, is subject to variation due to several factors, including variability in pre-tax income (or loss), the mix of jurisdictions to which such income relates, changes in how we do business, and tax law developments. Our estimated effective tax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recorded an income tax provision of $ 0.5 million and income tax benefit of $13.8 million for the three months ended March 31, 2018 and 2017, respectively. The Company's effective income tax rate was approximately 5.3% and (170.4)% for the three months ended March 31, 2018 and 2017, respectively.</w:t>
      </w:r>
    </w:p>
    <w:p>
      <w:pPr>
        <w:spacing w:after="0" w:line="202"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7"/>
          <w:szCs w:val="17"/>
          <w:color w:val="231F20"/>
        </w:rPr>
        <w:t>On December 22, 2017, the Tax Cuts and Jobs Act (the “2017 Tax Act”) was enacted into law. The new legislation contains significant tax provisions that affect the Company, including a one-time repatriation tax on accumulated foreign earnings, a reduction of the corporate income tax rate from 35% to 21%, which was effective January 1, 2018, and a change from a worldwide tax system to a modified territorial system.</w:t>
      </w:r>
    </w:p>
    <w:p>
      <w:pPr>
        <w:spacing w:after="0" w:line="18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In accordance with Staff Accounting Bulletin No. 118 ("SAB 118"), the effects of the 2017 Tax Act may be adjusted within a one-year measurement period from the enactment date of the 2017 Tax Act for items that were previously reported as provisional estimates, or where a provisional estimate could not be made. The income tax provision for the three months ended March 31, 2018, does not reflect any adjustment to the provisional estimates recorded in the year ended December 31, 2017. The Company will continue to assess forthcoming guidance and accounting interpretations on the effects of the 2017 Tax Act and expects to complete its analysis within the measurement period in accordance with the SEC guidance. Such analysis includes both the implications of the newly introduced provisions for Global Intangible Low Tax Income and the detailed analysis of historical foreign earnings and potential correlative adjustments to verify the one-time transition tax does not apply.</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As of March 31, 2018, the Company had unrecognized tax benefits of </w:t>
      </w:r>
      <w:r>
        <w:rPr>
          <w:rFonts w:ascii="Arial" w:cs="Arial" w:eastAsia="Arial" w:hAnsi="Arial"/>
          <w:sz w:val="18"/>
          <w:szCs w:val="18"/>
          <w:color w:val="000000"/>
        </w:rPr>
        <w:t>$5.3 million</w:t>
      </w:r>
      <w:r>
        <w:rPr>
          <w:rFonts w:ascii="Arial" w:cs="Arial" w:eastAsia="Arial" w:hAnsi="Arial"/>
          <w:sz w:val="18"/>
          <w:szCs w:val="18"/>
          <w:color w:val="231F20"/>
        </w:rPr>
        <w:t xml:space="preserve">, of which </w:t>
      </w:r>
      <w:r>
        <w:rPr>
          <w:rFonts w:ascii="Arial" w:cs="Arial" w:eastAsia="Arial" w:hAnsi="Arial"/>
          <w:sz w:val="18"/>
          <w:szCs w:val="18"/>
          <w:color w:val="000000"/>
        </w:rPr>
        <w:t>$ 3.0 million</w:t>
      </w:r>
      <w:r>
        <w:rPr>
          <w:rFonts w:ascii="Arial" w:cs="Arial" w:eastAsia="Arial" w:hAnsi="Arial"/>
          <w:sz w:val="18"/>
          <w:szCs w:val="18"/>
          <w:color w:val="231F20"/>
        </w:rPr>
        <w:t xml:space="preserve">, if recognized, would favorably impact the Company's effective tax rate. As of December 31, 2017, the Company had unrecognized tax benefits of </w:t>
      </w:r>
      <w:r>
        <w:rPr>
          <w:rFonts w:ascii="Arial" w:cs="Arial" w:eastAsia="Arial" w:hAnsi="Arial"/>
          <w:sz w:val="18"/>
          <w:szCs w:val="18"/>
          <w:color w:val="000000"/>
        </w:rPr>
        <w:t>$ 5.1 million</w:t>
      </w:r>
      <w:r>
        <w:rPr>
          <w:rFonts w:ascii="Arial" w:cs="Arial" w:eastAsia="Arial" w:hAnsi="Arial"/>
          <w:sz w:val="18"/>
          <w:szCs w:val="18"/>
          <w:color w:val="231F20"/>
        </w:rPr>
        <w:t xml:space="preserve">, of which </w:t>
      </w:r>
      <w:r>
        <w:rPr>
          <w:rFonts w:ascii="Arial" w:cs="Arial" w:eastAsia="Arial" w:hAnsi="Arial"/>
          <w:sz w:val="18"/>
          <w:szCs w:val="18"/>
          <w:color w:val="000000"/>
        </w:rPr>
        <w:t>$ 2.8</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if recognized, would favorably impact the Company's effective tax rate. The Company does not anticipate a material change in its</w:t>
      </w:r>
      <w:r>
        <w:rPr>
          <w:rFonts w:ascii="Arial" w:cs="Arial" w:eastAsia="Arial" w:hAnsi="Arial"/>
          <w:sz w:val="18"/>
          <w:szCs w:val="18"/>
          <w:color w:val="000000"/>
        </w:rPr>
        <w:t xml:space="preserve"> </w:t>
      </w:r>
      <w:r>
        <w:rPr>
          <w:rFonts w:ascii="Arial" w:cs="Arial" w:eastAsia="Arial" w:hAnsi="Arial"/>
          <w:sz w:val="18"/>
          <w:szCs w:val="18"/>
          <w:color w:val="231F20"/>
        </w:rPr>
        <w:t>unrecognized tax benefits in the next 12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 and Information about Geographic Area</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geographic area, based on the location of the customer,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rPr>
              <w:t>Three Months Ended March 31, 2018</w:t>
            </w:r>
          </w:p>
        </w:tc>
      </w:tr>
      <w:tr>
        <w:trPr>
          <w:trHeight w:val="198"/>
        </w:trPr>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Operating Lease</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8"/>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ASC 606 Revenues</w:t>
            </w:r>
          </w:p>
        </w:tc>
        <w:tc>
          <w:tcPr>
            <w:tcW w:w="1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9"/>
                <w:szCs w:val="19"/>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 Revenues</w:t>
            </w:r>
          </w:p>
        </w:tc>
      </w:tr>
      <w:tr>
        <w:trPr>
          <w:trHeight w:val="257"/>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40,308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4,006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44,314</w:t>
            </w:r>
          </w:p>
        </w:tc>
      </w:tr>
      <w:tr>
        <w:trPr>
          <w:trHeight w:val="26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18,895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20,564</w:t>
            </w:r>
          </w:p>
        </w:tc>
      </w:tr>
      <w:tr>
        <w:trPr>
          <w:trHeight w:val="24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64,878</w:t>
            </w: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rPr>
              <w:t>Three Months Ended March 31, 2017</w:t>
            </w:r>
          </w:p>
        </w:tc>
      </w:tr>
      <w:tr>
        <w:trPr>
          <w:trHeight w:val="198"/>
        </w:trPr>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Operating Lease</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8"/>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ASC 606 Revenues</w:t>
            </w:r>
          </w:p>
        </w:tc>
        <w:tc>
          <w:tcPr>
            <w:tcW w:w="1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9"/>
                <w:szCs w:val="19"/>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 Revenues</w:t>
            </w:r>
          </w:p>
        </w:tc>
      </w:tr>
      <w:tr>
        <w:trPr>
          <w:trHeight w:val="257"/>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33,882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3,579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37,461</w:t>
            </w:r>
          </w:p>
        </w:tc>
      </w:tr>
      <w:tr>
        <w:trPr>
          <w:trHeight w:val="26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15,660</w:t>
            </w:r>
          </w:p>
        </w:tc>
      </w:tr>
      <w:tr>
        <w:trPr>
          <w:trHeight w:val="24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53,121</w:t>
            </w: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50,785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9,123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7,772</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60,696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58,557</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On April 1, 2018, the Company announced that it had acquired certain assets of Singapore-based 1Mobility, </w:t>
      </w:r>
      <w:r>
        <w:rPr>
          <w:rFonts w:ascii="Arial" w:cs="Arial" w:eastAsia="Arial" w:hAnsi="Arial"/>
          <w:sz w:val="18"/>
          <w:szCs w:val="18"/>
          <w:color w:val="000000"/>
        </w:rPr>
        <w:t>expanding the Company’s</w:t>
      </w:r>
      <w:r>
        <w:rPr>
          <w:rFonts w:ascii="Arial" w:cs="Arial" w:eastAsia="Arial" w:hAnsi="Arial"/>
          <w:sz w:val="18"/>
          <w:szCs w:val="18"/>
          <w:color w:val="231F20"/>
        </w:rPr>
        <w:t xml:space="preserve"> </w:t>
      </w:r>
      <w:r>
        <w:rPr>
          <w:rFonts w:ascii="Arial" w:cs="Arial" w:eastAsia="Arial" w:hAnsi="Arial"/>
          <w:sz w:val="18"/>
          <w:szCs w:val="18"/>
          <w:color w:val="000000"/>
        </w:rPr>
        <w:t>domain expertise in passive scanning and deep packet inspection as well as accelerating its entrance into the mitigation and response segment, natively from the Qualys cloud platform. Total purchase consideration related to the acquisition was $4.0 million in cash, of which $0.6 million is payable in the future subject to terms and conditions of the purchase agreement. The acquisition will be accounted for as a business combination.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2017, filed with the Securities and Exchange Commission, or SEC, on February 23, 2018.</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hanging="323"/>
        <w:spacing w:after="0" w:line="260" w:lineRule="auto"/>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line="250"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20" w:hanging="323"/>
        <w:spacing w:after="0" w:line="262"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09"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We are a pioneer and leading provider of a cloud-based platform delivering security and compliance solutions that enable organizations to identify security risks to their information technology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 as our solution offers a single platform for information security, application security, endpoint, developer security and cloud teams.</w:t>
      </w:r>
    </w:p>
    <w:p>
      <w:pPr>
        <w:spacing w:after="0" w:line="212"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new solutions to help customers manage increasing IT security and compliance requirements. Today, the suite of solutions offered on our cloud platform, which we refer to as the Qualys Cloud Apps, includes: Asset Inventory (AI), CMDB Sync (SYN), VM, Continuous Monitoring (CM), Cloud Agent Platform (CAP), Threat Protection (TP), Security Configuration Assessment (SCA), Indication of Compromise (IOC), Policy Compliance (PC), PCI Compliance (PCI), Security Assessment Questionnaire (SAQ), File Integrity Monitoring (FIM), Web Application Scanning (WAS) and Web Application Firewall (WAF). Our VM solutions (including VM, AI, SYN, CM, TP, Cloud Agent for VM, allocated scanner revenue and Qualys Private Cloud Platform) have provided a substantial majority of our revenues to date, representing 74% of our revenues for the three months ended March 31, 2018.</w:t>
      </w:r>
    </w:p>
    <w:p>
      <w:pPr>
        <w:spacing w:after="0" w:line="213"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w:t>
      </w:r>
      <w:r>
        <w:rPr>
          <w:rFonts w:ascii="Arial" w:cs="Arial" w:eastAsia="Arial" w:hAnsi="Arial"/>
          <w:sz w:val="18"/>
          <w:szCs w:val="18"/>
          <w:color w:val="231F20"/>
        </w:rPr>
        <w:t>cant revenue growth from existing customers as they renew and purchase additional</w:t>
      </w:r>
      <w:r>
        <w:rPr>
          <w:rFonts w:ascii="Arial" w:cs="Arial" w:eastAsia="Arial" w:hAnsi="Arial"/>
          <w:sz w:val="18"/>
          <w:szCs w:val="18"/>
          <w:color w:val="auto"/>
        </w:rPr>
        <w:t xml:space="preserve"> </w:t>
      </w:r>
      <w:r>
        <w:rPr>
          <w:rFonts w:ascii="Arial" w:cs="Arial" w:eastAsia="Arial" w:hAnsi="Arial"/>
          <w:sz w:val="18"/>
          <w:szCs w:val="18"/>
          <w:color w:val="231F20"/>
        </w:rPr>
        <w:t>subscriptions</w:t>
      </w:r>
      <w:r>
        <w:rPr>
          <w:rFonts w:ascii="Arial" w:cs="Arial" w:eastAsia="Arial" w:hAnsi="Arial"/>
          <w:sz w:val="18"/>
          <w:szCs w:val="18"/>
          <w:color w:val="000000"/>
        </w:rPr>
        <w:t>.</w:t>
      </w:r>
    </w:p>
    <w:p>
      <w:pPr>
        <w:spacing w:after="0" w:line="20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Our revenues increased to $ 64.9 million in the three months ended March 31, 2018 from $53.1 million for the comparable period in 2017, representing an increase of $11.8 million or 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Key Metric</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24"/>
                <w:szCs w:val="24"/>
                <w:color w:val="auto"/>
              </w:rPr>
            </w:pPr>
          </w:p>
        </w:tc>
      </w:tr>
      <w:tr>
        <w:trPr>
          <w:trHeight w:val="264"/>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247"/>
        </w:trPr>
        <w:tc>
          <w:tcPr>
            <w:tcW w:w="8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(in thousands, except percentages)</w:t>
            </w:r>
          </w:p>
        </w:tc>
      </w:tr>
      <w:tr>
        <w:trPr>
          <w:trHeight w:val="263"/>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24,618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16,808</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0"/>
        </w:trPr>
        <w:tc>
          <w:tcPr>
            <w:tcW w:w="8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and amortization of property and equipment, (4) amortization of intangible assets, (5) stock-based compensation, (6) non-recurring expenses and (7) acquisition-related expenses that do not reflect ongoing costs of operating the business.</w:t>
      </w:r>
    </w:p>
    <w:p>
      <w:pPr>
        <w:spacing w:after="0" w:line="20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months ended March 31, 2018 and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9"/>
              </w:rPr>
              <w:t>(in thousands)</w:t>
            </w:r>
          </w:p>
        </w:tc>
        <w:tc>
          <w:tcPr>
            <w:tcW w:w="92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21,930</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6,410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4,727</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(13,821)</w:t>
            </w: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16,732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12,931</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8,891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Acquisition-related expense</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83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24,618</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16,808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Adjusted EBITDA for the three months ended March 31, 2018 excludes approximately $0.3 million of compensation expense from the acquisition of NetWatcher.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w:t>
      </w:r>
    </w:p>
    <w:p>
      <w:pPr>
        <w:spacing w:after="0" w:line="288"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Adjusted EBITDA, a non-GAAP financial measure, has limitations as an analytical tool,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w:t>
      </w:r>
      <w:r>
        <w:rPr>
          <w:rFonts w:ascii="Arial" w:cs="Arial" w:eastAsia="Arial" w:hAnsi="Arial"/>
          <w:sz w:val="18"/>
          <w:szCs w:val="18"/>
          <w:color w:val="000000"/>
        </w:rPr>
        <w:t>solutions. In some limited cases, we also provide certain computer equipment used to extend our Qualys cloud platform into our</w:t>
      </w:r>
      <w:r>
        <w:rPr>
          <w:rFonts w:ascii="Arial" w:cs="Arial" w:eastAsia="Arial" w:hAnsi="Arial"/>
          <w:sz w:val="18"/>
          <w:szCs w:val="18"/>
          <w:color w:val="231F20"/>
        </w:rPr>
        <w:t xml:space="preserve"> </w:t>
      </w:r>
      <w:r>
        <w:rPr>
          <w:rFonts w:ascii="Arial" w:cs="Arial" w:eastAsia="Arial" w:hAnsi="Arial"/>
          <w:sz w:val="18"/>
          <w:szCs w:val="18"/>
          <w:color w:val="000000"/>
        </w:rPr>
        <w:t>customers’ private cloud environment. Customers are required to return physical scanner appliances and computer equipment if they do not renew their subscript</w:t>
      </w:r>
      <w:r>
        <w:rPr>
          <w:rFonts w:ascii="Arial" w:cs="Arial" w:eastAsia="Arial" w:hAnsi="Arial"/>
          <w:sz w:val="18"/>
          <w:szCs w:val="18"/>
          <w:color w:val="231F20"/>
        </w:rPr>
        <w:t>ions.</w:t>
      </w:r>
    </w:p>
    <w:p>
      <w:pPr>
        <w:spacing w:after="0" w:line="2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teams, as well as professional services, insurance, fees, and software licenses. We expect that general and administrative expenses will increase in absolute dollars, as we continue to add personnel and incur professional services to support our growth and compliance with legal requirements.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losses on disposal of property and equipment; and impairment of long-lived assets.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higher than U.S. tax rates, and may be subject to U.S. income taxes.</w:t>
      </w:r>
    </w:p>
    <w:p>
      <w:pPr>
        <w:spacing w:after="0" w:line="20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tax provision from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estimated effective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On December 22, 2017, the Tax Cuts and Jobs Act (the “2017 Tax Act”) was enacted into law. The new legislation contains significant tax provisions that affect us, including a one-time repatriation tax on accumulated foreign earnings, a reduction of the corporate income tax rate from 35% to 21%, which was effective January 1, 2018, and a change from a worldwide tax system to a modified territorial system.</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accordance with Staff Accounting Bulletin No. 118 ("SAB 118"), the effects of the 2017 Tax Act may be adjusted within a one-year measurement period from the enactment date of the 2017 Tax Act for items that were previously reported as provisional estimates, or where a provisional estimate could not be made. The income tax provision for the three months ended March 31, 2018, does not reflect any adjustment to the provisional estimates recorded in the year ended December 31, 2017. We will continue to assess forthcoming guidance and accounting interpretations on the effects of the 2017 Tax Act and expect to complete our analysis within the measurement period in accordance with the SEC guidance. Such analysis includes both the implications of the newly introduced provisions for Global Intangible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Low Tax Income and the detailed analysis of historical foreign earnings and potential correlative adjustments to verify the one-time transition tax does not apply.</w:t>
      </w:r>
    </w:p>
    <w:p>
      <w:pPr>
        <w:spacing w:after="0" w:line="1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Sales Taxes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We present our revenues net of sales tax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231F20"/>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64,878</w:t>
            </w:r>
          </w:p>
        </w:tc>
        <w:tc>
          <w:tcPr>
            <w:tcW w:w="10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53,121</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340" w:type="dxa"/>
            <w:vAlign w:val="bottom"/>
            <w:tcBorders>
              <w:bottom w:val="single" w:sz="8" w:color="231F20"/>
            </w:tcBorders>
            <w:shd w:val="clear" w:color="auto" w:fill="CCEEFF"/>
          </w:tcPr>
          <w:p>
            <w:pPr>
              <w:spacing w:after="0"/>
              <w:rPr>
                <w:sz w:val="24"/>
                <w:szCs w:val="24"/>
                <w:color w:val="auto"/>
              </w:rPr>
            </w:pPr>
          </w:p>
        </w:tc>
        <w:tc>
          <w:tcPr>
            <w:tcW w:w="11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15,901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12,294</w:t>
            </w:r>
          </w:p>
        </w:tc>
      </w:tr>
      <w:tr>
        <w:trPr>
          <w:trHeight w:val="240"/>
        </w:trPr>
        <w:tc>
          <w:tcPr>
            <w:tcW w:w="834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48,977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40,827</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12,553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9,823</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16,233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16,014</w:t>
            </w:r>
          </w:p>
        </w:tc>
      </w:tr>
      <w:tr>
        <w:trPr>
          <w:trHeight w:val="27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34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11,785</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7,334</w:t>
            </w:r>
          </w:p>
        </w:tc>
      </w:tr>
      <w:tr>
        <w:trPr>
          <w:trHeight w:val="244"/>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40,571</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33,171</w:t>
            </w: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8,406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7,656</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31F20"/>
              </w:rPr>
              <w:t>453</w:t>
            </w: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8,109</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Borders>
              <w:bottom w:val="single" w:sz="8" w:color="231F20"/>
            </w:tcBorders>
            <w:shd w:val="clear" w:color="auto" w:fill="CCEEFF"/>
          </w:tcPr>
          <w:p>
            <w:pPr>
              <w:spacing w:after="0"/>
              <w:rPr>
                <w:sz w:val="23"/>
                <w:szCs w:val="23"/>
                <w:color w:val="auto"/>
              </w:rPr>
            </w:pPr>
          </w:p>
        </w:tc>
        <w:tc>
          <w:tcPr>
            <w:tcW w:w="11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509</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(13,821)</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9,142</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21,930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231F20"/>
          <w:vertAlign w:val="superscript"/>
        </w:rPr>
      </w:pPr>
      <w:r>
        <w:rPr>
          <w:rFonts w:ascii="Arial" w:cs="Arial" w:eastAsia="Arial" w:hAnsi="Arial"/>
          <w:sz w:val="14"/>
          <w:szCs w:val="14"/>
          <w:color w:val="231F20"/>
        </w:rPr>
        <w:t>Includes stock-based compensation as follows:</w:t>
      </w:r>
    </w:p>
    <w:p>
      <w:pPr>
        <w:spacing w:after="0" w:line="38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40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r>
      <w:tr>
        <w:trPr>
          <w:trHeight w:val="283"/>
        </w:trPr>
        <w:tc>
          <w:tcPr>
            <w:tcW w:w="78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24"/>
                <w:szCs w:val="24"/>
                <w:color w:val="auto"/>
              </w:rPr>
            </w:pPr>
          </w:p>
        </w:tc>
      </w:tr>
      <w:tr>
        <w:trPr>
          <w:trHeight w:val="264"/>
        </w:trPr>
        <w:tc>
          <w:tcPr>
            <w:tcW w:w="78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47"/>
        </w:trPr>
        <w:tc>
          <w:tcPr>
            <w:tcW w:w="7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2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Pr>
          <w:p>
            <w:pPr>
              <w:spacing w:after="0"/>
              <w:rPr>
                <w:sz w:val="21"/>
                <w:szCs w:val="21"/>
                <w:color w:val="auto"/>
              </w:rPr>
            </w:pPr>
          </w:p>
        </w:tc>
      </w:tr>
      <w:tr>
        <w:trPr>
          <w:trHeight w:val="28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r>
      <w:tr>
        <w:trPr>
          <w:trHeight w:val="260"/>
        </w:trPr>
        <w:tc>
          <w:tcPr>
            <w:tcW w:w="78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1,841</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1,221</w:t>
            </w:r>
          </w:p>
        </w:tc>
      </w:tr>
      <w:tr>
        <w:trPr>
          <w:trHeight w:val="28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1,401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4"/>
              </w:rPr>
              <w:t>1,084</w:t>
            </w:r>
          </w:p>
        </w:tc>
      </w:tr>
      <w:tr>
        <w:trPr>
          <w:trHeight w:val="26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4,995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1,526</w:t>
            </w:r>
          </w:p>
        </w:tc>
      </w:tr>
      <w:tr>
        <w:trPr>
          <w:trHeight w:val="240"/>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8,891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4,332</w:t>
            </w:r>
          </w:p>
        </w:tc>
      </w:tr>
      <w:tr>
        <w:trPr>
          <w:trHeight w:val="20"/>
        </w:trPr>
        <w:tc>
          <w:tcPr>
            <w:tcW w:w="7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266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r>
      <w:tr>
        <w:trPr>
          <w:trHeight w:val="283"/>
        </w:trPr>
        <w:tc>
          <w:tcPr>
            <w:tcW w:w="8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24"/>
                <w:szCs w:val="24"/>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57"/>
        </w:trPr>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r>
      <w:tr>
        <w:trPr>
          <w:trHeight w:val="257"/>
        </w:trPr>
        <w:tc>
          <w:tcPr>
            <w:tcW w:w="9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r>
      <w:tr>
        <w:trPr>
          <w:trHeight w:val="260"/>
        </w:trPr>
        <w:tc>
          <w:tcPr>
            <w:tcW w:w="92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80"/>
        </w:trPr>
        <w:tc>
          <w:tcPr>
            <w:tcW w:w="9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r>
      <w:tr>
        <w:trPr>
          <w:trHeight w:val="260"/>
        </w:trPr>
        <w:tc>
          <w:tcPr>
            <w:tcW w:w="922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30</w:t>
            </w:r>
          </w:p>
        </w:tc>
      </w:tr>
      <w:tr>
        <w:trPr>
          <w:trHeight w:val="273"/>
        </w:trPr>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r>
      <w:tr>
        <w:trPr>
          <w:trHeight w:val="250"/>
        </w:trPr>
        <w:tc>
          <w:tcPr>
            <w:tcW w:w="82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63</w:t>
            </w:r>
          </w:p>
        </w:tc>
      </w:tr>
      <w:tr>
        <w:trPr>
          <w:trHeight w:val="257"/>
        </w:trPr>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r>
      <w:tr>
        <w:trPr>
          <w:trHeight w:val="264"/>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r>
      <w:tr>
        <w:trPr>
          <w:trHeight w:val="257"/>
        </w:trPr>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64"/>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w:t>
            </w:r>
          </w:p>
        </w:tc>
      </w:tr>
      <w:tr>
        <w:trPr>
          <w:trHeight w:val="240"/>
        </w:trPr>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March 31, 2018</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83"/>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69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6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8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(in thousands, except percentages)</w:t>
            </w:r>
          </w:p>
        </w:tc>
        <w:tc>
          <w:tcPr>
            <w:tcW w:w="700" w:type="dxa"/>
            <w:vAlign w:val="bottom"/>
          </w:tcPr>
          <w:p>
            <w:pPr>
              <w:spacing w:after="0"/>
              <w:rPr>
                <w:sz w:val="21"/>
                <w:szCs w:val="21"/>
                <w:color w:val="auto"/>
              </w:rPr>
            </w:pPr>
          </w:p>
        </w:tc>
      </w:tr>
      <w:tr>
        <w:trPr>
          <w:trHeight w:val="280"/>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64,878</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11,757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26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Revenues increased $11.8 million 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due to an increase in the purchase of subscriptions from existing customers and new customer subscriptions entered into after March 31, 2017. Of the total increase of </w:t>
      </w:r>
      <w:r>
        <w:rPr>
          <w:rFonts w:ascii="Arial" w:cs="Arial" w:eastAsia="Arial" w:hAnsi="Arial"/>
          <w:sz w:val="18"/>
          <w:szCs w:val="18"/>
          <w:color w:val="000000"/>
        </w:rPr>
        <w:t>$ 11.8 million</w:t>
      </w:r>
      <w:r>
        <w:rPr>
          <w:rFonts w:ascii="Arial" w:cs="Arial" w:eastAsia="Arial" w:hAnsi="Arial"/>
          <w:sz w:val="18"/>
          <w:szCs w:val="18"/>
          <w:color w:val="231F20"/>
        </w:rPr>
        <w:t xml:space="preserve">, $6.9 million was from customers in the United States and the remaining $4.9 million was from customers in foreign countries. </w:t>
      </w:r>
      <w:r>
        <w:rPr>
          <w:rFonts w:ascii="Arial" w:cs="Arial" w:eastAsia="Arial" w:hAnsi="Arial"/>
          <w:sz w:val="18"/>
          <w:szCs w:val="18"/>
          <w:color w:val="000000"/>
        </w:rPr>
        <w:t>We expect revenue growth from existing and new customers to continue. The growth in revenues reflects the continued</w:t>
      </w:r>
      <w:r>
        <w:rPr>
          <w:rFonts w:ascii="Arial" w:cs="Arial" w:eastAsia="Arial" w:hAnsi="Arial"/>
          <w:sz w:val="18"/>
          <w:szCs w:val="18"/>
          <w:color w:val="231F20"/>
        </w:rPr>
        <w:t xml:space="preserve"> </w:t>
      </w:r>
      <w:r>
        <w:rPr>
          <w:rFonts w:ascii="Arial" w:cs="Arial" w:eastAsia="Arial" w:hAnsi="Arial"/>
          <w:sz w:val="18"/>
          <w:szCs w:val="18"/>
          <w:color w:val="000000"/>
        </w:rPr>
        <w:t>demand for our solutions. There was no impact to our revenues as a result of adopting Accounting Standards Codification ("ASC") 606. See Note 4, “Revenue from Contracts with Customers”, to the unaudited condensed consolidated financial statements in Part I, Item 1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83"/>
        </w:trPr>
        <w:tc>
          <w:tcPr>
            <w:tcW w:w="6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6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6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gridSpan w:val="6"/>
          </w:tcPr>
          <w:p>
            <w:pPr>
              <w:ind w:left="720"/>
              <w:spacing w:after="0"/>
              <w:rPr>
                <w:sz w:val="20"/>
                <w:szCs w:val="20"/>
                <w:color w:val="auto"/>
              </w:rPr>
            </w:pPr>
            <w:r>
              <w:rPr>
                <w:rFonts w:ascii="Arial" w:cs="Arial" w:eastAsia="Arial" w:hAnsi="Arial"/>
                <w:sz w:val="16"/>
                <w:szCs w:val="16"/>
                <w:b w:val="1"/>
                <w:bCs w:val="1"/>
                <w:color w:val="auto"/>
              </w:rPr>
              <w:t>(in thousands, except percentages)</w:t>
            </w:r>
          </w:p>
        </w:tc>
        <w:tc>
          <w:tcPr>
            <w:tcW w:w="700" w:type="dxa"/>
            <w:vAlign w:val="bottom"/>
          </w:tcPr>
          <w:p>
            <w:pPr>
              <w:spacing w:after="0"/>
              <w:rPr>
                <w:sz w:val="21"/>
                <w:szCs w:val="21"/>
                <w:color w:val="auto"/>
              </w:rPr>
            </w:pPr>
          </w:p>
        </w:tc>
      </w:tr>
      <w:tr>
        <w:trPr>
          <w:trHeight w:val="280"/>
        </w:trPr>
        <w:tc>
          <w:tcPr>
            <w:tcW w:w="6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15,901</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12,294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3,607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60"/>
        </w:trPr>
        <w:tc>
          <w:tcPr>
            <w:tcW w:w="68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80"/>
        </w:trPr>
        <w:tc>
          <w:tcPr>
            <w:tcW w:w="6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bl>
    <w:p>
      <w:pPr>
        <w:spacing w:after="0" w:line="2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31F20"/>
        </w:rPr>
        <w:t xml:space="preserve">Cost of revenues increased $ 3.6 million 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w:t>
      </w:r>
      <w:r>
        <w:rPr>
          <w:rFonts w:ascii="Arial" w:cs="Arial" w:eastAsia="Arial" w:hAnsi="Arial"/>
          <w:sz w:val="18"/>
          <w:szCs w:val="18"/>
          <w:color w:val="231F20"/>
        </w:rPr>
        <w:t xml:space="preserve"> </w:t>
      </w:r>
      <w:r>
        <w:rPr>
          <w:rFonts w:ascii="Arial" w:cs="Arial" w:eastAsia="Arial" w:hAnsi="Arial"/>
          <w:sz w:val="18"/>
          <w:szCs w:val="18"/>
          <w:color w:val="000000"/>
        </w:rPr>
        <w:t xml:space="preserve">2017, </w:t>
      </w:r>
      <w:r>
        <w:rPr>
          <w:rFonts w:ascii="Arial" w:cs="Arial" w:eastAsia="Arial" w:hAnsi="Arial"/>
          <w:sz w:val="18"/>
          <w:szCs w:val="18"/>
          <w:color w:val="231F20"/>
        </w:rPr>
        <w:t>primarily due to an increase in personnel expenses of $1.6 million, driven by the increase in the number of employees to support the</w:t>
      </w:r>
      <w:r>
        <w:rPr>
          <w:rFonts w:ascii="Arial" w:cs="Arial" w:eastAsia="Arial" w:hAnsi="Arial"/>
          <w:sz w:val="18"/>
          <w:szCs w:val="18"/>
          <w:color w:val="000000"/>
        </w:rPr>
        <w:t xml:space="preserve"> </w:t>
      </w:r>
      <w:r>
        <w:rPr>
          <w:rFonts w:ascii="Arial" w:cs="Arial" w:eastAsia="Arial" w:hAnsi="Arial"/>
          <w:sz w:val="18"/>
          <w:szCs w:val="18"/>
          <w:color w:val="231F20"/>
        </w:rPr>
        <w:t>continued growth of our business; a $0.7 million increase in depreciation expense related to additional computer hardware and software; a $0.6 million increase in amortization expense related to acquired technology resulting from our business acquisitions; increased third-party software license and maintenance expense of $0.4 million; and increased data center costs of $0.3 million as our business continues to grow.</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83"/>
        </w:trPr>
        <w:tc>
          <w:tcPr>
            <w:tcW w:w="6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6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6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6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rPr>
              <w:t>(in thousands, except percentages)</w:t>
            </w:r>
          </w:p>
        </w:tc>
        <w:tc>
          <w:tcPr>
            <w:tcW w:w="700" w:type="dxa"/>
            <w:vAlign w:val="bottom"/>
          </w:tcPr>
          <w:p>
            <w:pPr>
              <w:spacing w:after="0"/>
              <w:rPr>
                <w:sz w:val="21"/>
                <w:szCs w:val="21"/>
                <w:color w:val="auto"/>
              </w:rPr>
            </w:pPr>
          </w:p>
        </w:tc>
      </w:tr>
      <w:tr>
        <w:trPr>
          <w:trHeight w:val="280"/>
        </w:trPr>
        <w:tc>
          <w:tcPr>
            <w:tcW w:w="6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12,553</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2,730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51"/>
        </w:trPr>
        <w:tc>
          <w:tcPr>
            <w:tcW w:w="68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1"/>
                <w:szCs w:val="21"/>
                <w:color w:val="auto"/>
              </w:rPr>
            </w:pPr>
          </w:p>
        </w:tc>
        <w:tc>
          <w:tcPr>
            <w:tcW w:w="1300" w:type="dxa"/>
            <w:vAlign w:val="bottom"/>
            <w:gridSpan w:val="2"/>
          </w:tcPr>
          <w:p>
            <w:pPr>
              <w:jc w:val="right"/>
              <w:ind w:right="399"/>
              <w:spacing w:after="0"/>
              <w:rPr>
                <w:sz w:val="20"/>
                <w:szCs w:val="20"/>
                <w:color w:val="auto"/>
              </w:rPr>
            </w:pPr>
            <w:r>
              <w:rPr>
                <w:rFonts w:ascii="Arial" w:cs="Arial" w:eastAsia="Arial" w:hAnsi="Arial"/>
                <w:sz w:val="16"/>
                <w:szCs w:val="16"/>
                <w:color w:val="auto"/>
              </w:rPr>
              <w:t>19%</w:t>
            </w: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8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Research and development expenses increased $2.7 million for the three months ended March 31, 2018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2017</w:t>
      </w:r>
      <w:r>
        <w:rPr>
          <w:rFonts w:ascii="Arial" w:cs="Arial" w:eastAsia="Arial" w:hAnsi="Arial"/>
          <w:sz w:val="18"/>
          <w:szCs w:val="18"/>
          <w:color w:val="231F20"/>
        </w:rPr>
        <w:t>, primarily due to an increase in personnel expenses of $2.1 million, driven by additional employees hired to support the</w:t>
      </w:r>
      <w:r>
        <w:rPr>
          <w:rFonts w:ascii="Arial" w:cs="Arial" w:eastAsia="Arial" w:hAnsi="Arial"/>
          <w:sz w:val="18"/>
          <w:szCs w:val="18"/>
          <w:color w:val="000000"/>
        </w:rPr>
        <w:t xml:space="preserve"> </w:t>
      </w:r>
      <w:r>
        <w:rPr>
          <w:rFonts w:ascii="Arial" w:cs="Arial" w:eastAsia="Arial" w:hAnsi="Arial"/>
          <w:sz w:val="18"/>
          <w:szCs w:val="18"/>
          <w:color w:val="231F20"/>
        </w:rPr>
        <w:t>growth of our business; increased related facilities costs and expenses of $0.4 million to support our research and development activities; and increased third-party software license and maintenance expense of $0.1 million as our business continues to grow. We continue to significantly invest in and expand our research and development teams to continuously improve our platform and existing solutions, as well as develop new solutions and capabilities.</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83"/>
        </w:trPr>
        <w:tc>
          <w:tcPr>
            <w:tcW w:w="6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6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6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6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rPr>
              <w:t>(in thousands, except percentages)</w:t>
            </w:r>
          </w:p>
        </w:tc>
        <w:tc>
          <w:tcPr>
            <w:tcW w:w="700" w:type="dxa"/>
            <w:vAlign w:val="bottom"/>
          </w:tcPr>
          <w:p>
            <w:pPr>
              <w:spacing w:after="0"/>
              <w:rPr>
                <w:sz w:val="21"/>
                <w:szCs w:val="21"/>
                <w:color w:val="auto"/>
              </w:rPr>
            </w:pPr>
          </w:p>
        </w:tc>
      </w:tr>
      <w:tr>
        <w:trPr>
          <w:trHeight w:val="280"/>
        </w:trPr>
        <w:tc>
          <w:tcPr>
            <w:tcW w:w="6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16,233</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16,014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219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68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1"/>
                <w:szCs w:val="21"/>
                <w:color w:val="auto"/>
              </w:rPr>
            </w:pPr>
          </w:p>
        </w:tc>
        <w:tc>
          <w:tcPr>
            <w:tcW w:w="1300" w:type="dxa"/>
            <w:vAlign w:val="bottom"/>
            <w:gridSpan w:val="2"/>
          </w:tcPr>
          <w:p>
            <w:pPr>
              <w:jc w:val="right"/>
              <w:ind w:right="399"/>
              <w:spacing w:after="0"/>
              <w:rPr>
                <w:sz w:val="20"/>
                <w:szCs w:val="20"/>
                <w:color w:val="auto"/>
              </w:rPr>
            </w:pPr>
            <w:r>
              <w:rPr>
                <w:rFonts w:ascii="Arial" w:cs="Arial" w:eastAsia="Arial" w:hAnsi="Arial"/>
                <w:sz w:val="16"/>
                <w:szCs w:val="16"/>
                <w:color w:val="auto"/>
              </w:rPr>
              <w:t>25%</w:t>
            </w: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Sales and marketing expenses increased $0.2 million for the three months ended March 31, 2018 compared to the three months ended March 31, 2017, primarily due to an increase in headcount expense of $1.1 million driven by additional employees hired to support the growth of our business; increased third-party software license and maintenance expense of $0.7 million; and increased depreciation related to computer software of $0.4 million. These increases were partially offset by a decrease in tradeshow expenses of $1.1 million as well as a decrease of commission expense of $0.8 million resulting from the adoption of ASC 606, resulting in us capitalizing commissions on new business and upsells in the three months ended March 31, 2018 versus expensing all commissions in the three months ended March 31, 2017.</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83"/>
        </w:trPr>
        <w:tc>
          <w:tcPr>
            <w:tcW w:w="6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6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6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6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rPr>
              <w:t>(in thousands, except percentages)</w:t>
            </w:r>
          </w:p>
        </w:tc>
        <w:tc>
          <w:tcPr>
            <w:tcW w:w="700" w:type="dxa"/>
            <w:vAlign w:val="bottom"/>
          </w:tcPr>
          <w:p>
            <w:pPr>
              <w:spacing w:after="0"/>
              <w:rPr>
                <w:sz w:val="21"/>
                <w:szCs w:val="21"/>
                <w:color w:val="auto"/>
              </w:rPr>
            </w:pPr>
          </w:p>
        </w:tc>
      </w:tr>
      <w:tr>
        <w:trPr>
          <w:trHeight w:val="280"/>
        </w:trPr>
        <w:tc>
          <w:tcPr>
            <w:tcW w:w="6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11,785</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4,451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51"/>
        </w:trPr>
        <w:tc>
          <w:tcPr>
            <w:tcW w:w="68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1"/>
                <w:szCs w:val="21"/>
                <w:color w:val="auto"/>
              </w:rPr>
            </w:pPr>
          </w:p>
        </w:tc>
        <w:tc>
          <w:tcPr>
            <w:tcW w:w="1300" w:type="dxa"/>
            <w:vAlign w:val="bottom"/>
            <w:gridSpan w:val="2"/>
          </w:tcPr>
          <w:p>
            <w:pPr>
              <w:jc w:val="right"/>
              <w:ind w:right="399"/>
              <w:spacing w:after="0"/>
              <w:rPr>
                <w:sz w:val="20"/>
                <w:szCs w:val="20"/>
                <w:color w:val="auto"/>
              </w:rPr>
            </w:pPr>
            <w:r>
              <w:rPr>
                <w:rFonts w:ascii="Arial" w:cs="Arial" w:eastAsia="Arial" w:hAnsi="Arial"/>
                <w:sz w:val="16"/>
                <w:szCs w:val="16"/>
                <w:color w:val="auto"/>
              </w:rPr>
              <w:t>18%</w:t>
            </w: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General and administrative expenses increased $4.5 million 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2017</w:t>
      </w:r>
      <w:r>
        <w:rPr>
          <w:rFonts w:ascii="Arial" w:cs="Arial" w:eastAsia="Arial" w:hAnsi="Arial"/>
          <w:sz w:val="18"/>
          <w:szCs w:val="18"/>
          <w:color w:val="231F20"/>
        </w:rPr>
        <w:t>, primarily driven by higher stock-based compensation of $ 3.5 million; increased consulting and outside services fees of</w:t>
      </w:r>
      <w:r>
        <w:rPr>
          <w:rFonts w:ascii="Arial" w:cs="Arial" w:eastAsia="Arial" w:hAnsi="Arial"/>
          <w:sz w:val="18"/>
          <w:szCs w:val="18"/>
          <w:color w:val="000000"/>
        </w:rPr>
        <w:t xml:space="preserve"> </w:t>
      </w:r>
      <w:r>
        <w:rPr>
          <w:rFonts w:ascii="Arial" w:cs="Arial" w:eastAsia="Arial" w:hAnsi="Arial"/>
          <w:sz w:val="18"/>
          <w:szCs w:val="18"/>
          <w:color w:val="231F20"/>
        </w:rPr>
        <w:t>$0.5 million; and increased third-party software license and maintenance expense of $0.4 million to support the growth of our business.</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83"/>
        </w:trPr>
        <w:tc>
          <w:tcPr>
            <w:tcW w:w="6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64"/>
        </w:trPr>
        <w:tc>
          <w:tcPr>
            <w:tcW w:w="6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6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80" w:type="dxa"/>
            <w:vAlign w:val="bottom"/>
            <w:gridSpan w:val="5"/>
          </w:tcPr>
          <w:p>
            <w:pPr>
              <w:jc w:val="right"/>
              <w:ind w:right="159"/>
              <w:spacing w:after="0"/>
              <w:rPr>
                <w:sz w:val="20"/>
                <w:szCs w:val="20"/>
                <w:color w:val="auto"/>
              </w:rPr>
            </w:pPr>
            <w:r>
              <w:rPr>
                <w:rFonts w:ascii="Arial" w:cs="Arial" w:eastAsia="Arial" w:hAnsi="Arial"/>
                <w:sz w:val="16"/>
                <w:szCs w:val="16"/>
                <w:b w:val="1"/>
                <w:bCs w:val="1"/>
                <w:color w:val="auto"/>
              </w:rPr>
              <w:t>(in thousands, except percentages)</w:t>
            </w:r>
          </w:p>
        </w:tc>
        <w:tc>
          <w:tcPr>
            <w:tcW w:w="700" w:type="dxa"/>
            <w:vAlign w:val="bottom"/>
          </w:tcPr>
          <w:p>
            <w:pPr>
              <w:spacing w:after="0"/>
              <w:rPr>
                <w:sz w:val="21"/>
                <w:szCs w:val="21"/>
                <w:color w:val="auto"/>
              </w:rPr>
            </w:pPr>
          </w:p>
        </w:tc>
      </w:tr>
      <w:tr>
        <w:trPr>
          <w:trHeight w:val="280"/>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 net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6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6"/>
                <w:szCs w:val="16"/>
                <w:color w:val="231F20"/>
              </w:rPr>
              <w:t>453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792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57"/>
        </w:trPr>
        <w:tc>
          <w:tcPr>
            <w:tcW w:w="67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60" w:type="dxa"/>
            <w:vAlign w:val="bottom"/>
          </w:tcPr>
          <w:p>
            <w:pPr>
              <w:spacing w:after="0"/>
              <w:rPr>
                <w:sz w:val="22"/>
                <w:szCs w:val="22"/>
                <w:color w:val="auto"/>
              </w:rPr>
            </w:pPr>
          </w:p>
        </w:tc>
        <w:tc>
          <w:tcPr>
            <w:tcW w:w="1320" w:type="dxa"/>
            <w:vAlign w:val="bottom"/>
            <w:gridSpan w:val="2"/>
          </w:tcPr>
          <w:p>
            <w:pPr>
              <w:jc w:val="right"/>
              <w:ind w:right="419"/>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r>
    </w:tbl>
    <w:p>
      <w:pPr>
        <w:spacing w:after="0" w:line="22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Total other income (expense), net increased by $0.8 million for the three months ended March 31, 2018 compared to the three months ended March 31, 2017, primarily due to an increase in interest income as our cash and investment balances increased year over year.</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83"/>
        </w:trPr>
        <w:tc>
          <w:tcPr>
            <w:tcW w:w="6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24"/>
                <w:szCs w:val="24"/>
                <w:color w:val="auto"/>
              </w:rPr>
            </w:pPr>
          </w:p>
        </w:tc>
      </w:tr>
      <w:tr>
        <w:trPr>
          <w:trHeight w:val="264"/>
        </w:trPr>
        <w:tc>
          <w:tcPr>
            <w:tcW w:w="67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r>
      <w:tr>
        <w:trPr>
          <w:trHeight w:val="247"/>
        </w:trPr>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2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(in thousands, except percentages)</w:t>
            </w:r>
          </w:p>
        </w:tc>
        <w:tc>
          <w:tcPr>
            <w:tcW w:w="720" w:type="dxa"/>
            <w:vAlign w:val="bottom"/>
          </w:tcPr>
          <w:p>
            <w:pPr>
              <w:spacing w:after="0"/>
              <w:rPr>
                <w:sz w:val="21"/>
                <w:szCs w:val="21"/>
                <w:color w:val="auto"/>
              </w:rPr>
            </w:pP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7"/>
              </w:rPr>
              <w:t>(13,821)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14,330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51"/>
        </w:trPr>
        <w:tc>
          <w:tcPr>
            <w:tcW w:w="67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40" w:type="dxa"/>
            <w:vAlign w:val="bottom"/>
          </w:tcPr>
          <w:p>
            <w:pPr>
              <w:spacing w:after="0"/>
              <w:rPr>
                <w:sz w:val="21"/>
                <w:szCs w:val="21"/>
                <w:color w:val="auto"/>
              </w:rPr>
            </w:pPr>
          </w:p>
        </w:tc>
        <w:tc>
          <w:tcPr>
            <w:tcW w:w="1320" w:type="dxa"/>
            <w:vAlign w:val="bottom"/>
            <w:gridSpan w:val="2"/>
          </w:tcPr>
          <w:p>
            <w:pPr>
              <w:jc w:val="right"/>
              <w:ind w:right="439"/>
              <w:spacing w:after="0"/>
              <w:rPr>
                <w:sz w:val="20"/>
                <w:szCs w:val="20"/>
                <w:color w:val="auto"/>
              </w:rPr>
            </w:pPr>
            <w:r>
              <w:rPr>
                <w:rFonts w:ascii="Arial" w:cs="Arial" w:eastAsia="Arial" w:hAnsi="Arial"/>
                <w:sz w:val="16"/>
                <w:szCs w:val="16"/>
                <w:color w:val="auto"/>
              </w:rPr>
              <w:t>5.3%</w:t>
            </w:r>
          </w:p>
        </w:tc>
        <w:tc>
          <w:tcPr>
            <w:tcW w:w="780" w:type="dxa"/>
            <w:vAlign w:val="bottom"/>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provision of $0.5 million and income tax benefit of $13.8 million for the three months ended March 31, 2018</w:t>
      </w:r>
      <w:r>
        <w:rPr>
          <w:rFonts w:ascii="Arial" w:cs="Arial" w:eastAsia="Arial" w:hAnsi="Arial"/>
          <w:sz w:val="18"/>
          <w:szCs w:val="18"/>
          <w:color w:val="231F20"/>
        </w:rPr>
        <w:t xml:space="preserve"> </w:t>
      </w:r>
      <w:r>
        <w:rPr>
          <w:rFonts w:ascii="Arial" w:cs="Arial" w:eastAsia="Arial" w:hAnsi="Arial"/>
          <w:sz w:val="18"/>
          <w:szCs w:val="18"/>
          <w:color w:val="000000"/>
        </w:rPr>
        <w:t xml:space="preserve">and 2017, respectively. </w:t>
      </w:r>
      <w:r>
        <w:rPr>
          <w:rFonts w:ascii="Arial" w:cs="Arial" w:eastAsia="Arial" w:hAnsi="Arial"/>
          <w:sz w:val="18"/>
          <w:szCs w:val="18"/>
          <w:color w:val="231F20"/>
        </w:rPr>
        <w:t>The increase in income tax provision for the three months ended March 31, 2018 is primarily due to a reduction in the</w:t>
      </w:r>
      <w:r>
        <w:rPr>
          <w:rFonts w:ascii="Arial" w:cs="Arial" w:eastAsia="Arial" w:hAnsi="Arial"/>
          <w:sz w:val="18"/>
          <w:szCs w:val="18"/>
          <w:color w:val="000000"/>
        </w:rPr>
        <w:t xml:space="preserve"> </w:t>
      </w:r>
      <w:r>
        <w:rPr>
          <w:rFonts w:ascii="Arial" w:cs="Arial" w:eastAsia="Arial" w:hAnsi="Arial"/>
          <w:sz w:val="18"/>
          <w:szCs w:val="18"/>
          <w:color w:val="231F20"/>
        </w:rPr>
        <w:t>amount of excess benefits of stock-based compensation realized during the quarter, a year-over-year increase in income before taxes and non-deductible stock-based compensation as a result of changes in the tax law for executive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March 31, 2018</w:t>
      </w:r>
      <w:r>
        <w:rPr>
          <w:rFonts w:ascii="Arial" w:cs="Arial" w:eastAsia="Arial" w:hAnsi="Arial"/>
          <w:sz w:val="18"/>
          <w:szCs w:val="18"/>
          <w:color w:val="231F20"/>
        </w:rPr>
        <w:t>, our principal source of liquidity was cash, cash equivalents, and short-term and long-term investments of $393.9 million, including $7.8 million held outside of the United States by our foreign subsidiaries. We do not anticipate that we will need funds generated from foreign operations to fund our domestic operations. However, if we repatriate these funds, we could be subject to foreign withholding taxes.</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We have experienced positive cash flows from operations during the three months ended March 31, 2018 and 2017. We believe our existing cash, cash equivalents, short-term and long-term investments, and cash from operations will be sufficient to fund our operations for at least the next twelve months. Our future capital requirements will depend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560" w:firstLine="162"/>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42,989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32,425</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(38,081)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1,675</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(8,505)</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6,583</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22,914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For the three months ended March 31, 2018, cash flows from operating activities of $43.0 million primarily resulted from our net income of approximately $9.1 million, as adjusted for non-cash items including stock-based compensation of $8.9 million and depreciation and amortization expense of $7.0 million; and a decrease in our accounts receivable of </w:t>
      </w:r>
      <w:r>
        <w:rPr>
          <w:rFonts w:ascii="Arial" w:cs="Arial" w:eastAsia="Arial" w:hAnsi="Arial"/>
          <w:sz w:val="18"/>
          <w:szCs w:val="18"/>
          <w:color w:val="000000"/>
        </w:rPr>
        <w:t>$14.5 million due to the timing of customer payments.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$ 32.4 million</w:t>
      </w:r>
      <w:r>
        <w:rPr>
          <w:rFonts w:ascii="Arial" w:cs="Arial" w:eastAsia="Arial" w:hAnsi="Arial"/>
          <w:sz w:val="18"/>
          <w:szCs w:val="18"/>
          <w:color w:val="231F20"/>
        </w:rPr>
        <w:t xml:space="preserve"> primarily resulted from our net income of approximately $21.9 million, as adjusted by an increase in deferred revenues of </w:t>
      </w:r>
      <w:r>
        <w:rPr>
          <w:rFonts w:ascii="Arial" w:cs="Arial" w:eastAsia="Arial" w:hAnsi="Arial"/>
          <w:sz w:val="18"/>
          <w:szCs w:val="18"/>
          <w:color w:val="000000"/>
        </w:rPr>
        <w:t>$8.0 million</w:t>
      </w:r>
      <w:r>
        <w:rPr>
          <w:rFonts w:ascii="Arial" w:cs="Arial" w:eastAsia="Arial" w:hAnsi="Arial"/>
          <w:sz w:val="18"/>
          <w:szCs w:val="18"/>
          <w:color w:val="231F20"/>
        </w:rPr>
        <w:t xml:space="preserve"> attributable to our continued growth, and a decrease in our accounts receivable of $5.4 million. These working capital increases were further increased by non-cash items including excess tax benefits included in deferred tax assets of $8.4 million, depreciation and amortization expense of </w:t>
      </w:r>
      <w:r>
        <w:rPr>
          <w:rFonts w:ascii="Arial" w:cs="Arial" w:eastAsia="Arial" w:hAnsi="Arial"/>
          <w:sz w:val="18"/>
          <w:szCs w:val="18"/>
          <w:color w:val="000000"/>
        </w:rPr>
        <w:t>$4.8 million</w:t>
      </w:r>
      <w:r>
        <w:rPr>
          <w:rFonts w:ascii="Arial" w:cs="Arial" w:eastAsia="Arial" w:hAnsi="Arial"/>
          <w:sz w:val="18"/>
          <w:szCs w:val="18"/>
          <w:color w:val="231F20"/>
        </w:rPr>
        <w:t xml:space="preserve"> and stock-based compensation of </w:t>
      </w:r>
      <w:r>
        <w:rPr>
          <w:rFonts w:ascii="Arial" w:cs="Arial" w:eastAsia="Arial" w:hAnsi="Arial"/>
          <w:sz w:val="18"/>
          <w:szCs w:val="18"/>
          <w:color w:val="000000"/>
        </w:rPr>
        <w:t>$4.3 million</w:t>
      </w:r>
      <w:r>
        <w:rPr>
          <w:rFonts w:ascii="Arial" w:cs="Arial" w:eastAsia="Arial" w:hAnsi="Arial"/>
          <w:sz w:val="18"/>
          <w:szCs w:val="18"/>
          <w:color w:val="231F20"/>
        </w:rPr>
        <w:t>. These increases were partially offset by additions to deferred income tax assets of $22.6 million.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$38.1 million was attributable to purchases of</w:t>
      </w:r>
      <w:r>
        <w:rPr>
          <w:rFonts w:ascii="Arial" w:cs="Arial" w:eastAsia="Arial" w:hAnsi="Arial"/>
          <w:sz w:val="18"/>
          <w:szCs w:val="18"/>
          <w:color w:val="231F20"/>
        </w:rPr>
        <w:t xml:space="preserve"> </w:t>
      </w:r>
      <w:r>
        <w:rPr>
          <w:rFonts w:ascii="Arial" w:cs="Arial" w:eastAsia="Arial" w:hAnsi="Arial"/>
          <w:sz w:val="18"/>
          <w:szCs w:val="18"/>
          <w:color w:val="000000"/>
        </w:rPr>
        <w:t xml:space="preserve">investments, net of sales and maturities of </w:t>
      </w:r>
      <w:r>
        <w:rPr>
          <w:rFonts w:ascii="Arial" w:cs="Arial" w:eastAsia="Arial" w:hAnsi="Arial"/>
          <w:sz w:val="18"/>
          <w:szCs w:val="18"/>
          <w:color w:val="231F20"/>
        </w:rPr>
        <w:t>$32.1 million</w:t>
      </w:r>
      <w:r>
        <w:rPr>
          <w:rFonts w:ascii="Arial" w:cs="Arial" w:eastAsia="Arial" w:hAnsi="Arial"/>
          <w:sz w:val="18"/>
          <w:szCs w:val="18"/>
          <w:color w:val="000000"/>
        </w:rPr>
        <w:t xml:space="preserve">, and </w:t>
      </w:r>
      <w:r>
        <w:rPr>
          <w:rFonts w:ascii="Arial" w:cs="Arial" w:eastAsia="Arial" w:hAnsi="Arial"/>
          <w:sz w:val="18"/>
          <w:szCs w:val="18"/>
          <w:color w:val="231F20"/>
        </w:rPr>
        <w:t>$6.0 million</w:t>
      </w:r>
      <w:r>
        <w:rPr>
          <w:rFonts w:ascii="Arial" w:cs="Arial" w:eastAsia="Arial" w:hAnsi="Arial"/>
          <w:sz w:val="18"/>
          <w:szCs w:val="18"/>
          <w:color w:val="000000"/>
        </w:rPr>
        <w:t xml:space="preserve"> of cash used for capital expenditures, including computer hardware and software for our data centers to support our growth and development, and to purchase physical scanner appliances and computer hardware provided to certain customers as part of their subscriptions.</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$1.0 million was attributable to $4.5 million of cash used</w:t>
      </w:r>
      <w:r>
        <w:rPr>
          <w:rFonts w:ascii="Arial" w:cs="Arial" w:eastAsia="Arial" w:hAnsi="Arial"/>
          <w:sz w:val="18"/>
          <w:szCs w:val="18"/>
          <w:color w:val="231F20"/>
        </w:rPr>
        <w:t xml:space="preserve"> </w:t>
      </w:r>
      <w:r>
        <w:rPr>
          <w:rFonts w:ascii="Arial" w:cs="Arial" w:eastAsia="Arial" w:hAnsi="Arial"/>
          <w:sz w:val="18"/>
          <w:szCs w:val="18"/>
          <w:color w:val="000000"/>
        </w:rPr>
        <w:t>for capital expenditures, including computer hardware and software for our data centers to support our growth and development. This increase was partially offset by sales and maturities of investments, net of purchases of $3.5 million.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three months ended March 31, 2018</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$1.7 million</w:t>
      </w:r>
      <w:r>
        <w:rPr>
          <w:rFonts w:ascii="Arial" w:cs="Arial" w:eastAsia="Arial" w:hAnsi="Arial"/>
          <w:sz w:val="18"/>
          <w:szCs w:val="18"/>
          <w:color w:val="231F20"/>
        </w:rPr>
        <w:t xml:space="preserve"> was attributable to $7.9 million of proceeds from the exercise of stock options, offset by </w:t>
      </w:r>
      <w:r>
        <w:rPr>
          <w:rFonts w:ascii="Arial" w:cs="Arial" w:eastAsia="Arial" w:hAnsi="Arial"/>
          <w:sz w:val="18"/>
          <w:szCs w:val="18"/>
          <w:color w:val="000000"/>
        </w:rPr>
        <w:t>employee payroll taxes paid related to net share settlement of equity awards of</w:t>
      </w:r>
      <w:r>
        <w:rPr>
          <w:rFonts w:ascii="Arial" w:cs="Arial" w:eastAsia="Arial" w:hAnsi="Arial"/>
          <w:sz w:val="18"/>
          <w:szCs w:val="18"/>
          <w:color w:val="231F20"/>
        </w:rPr>
        <w:t xml:space="preserve"> $4.0 million, share repurchases of $1.5 million and principal payments under capital lease obligations of $0.7 million.</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2017</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$8.5 million</w:t>
      </w:r>
      <w:r>
        <w:rPr>
          <w:rFonts w:ascii="Arial" w:cs="Arial" w:eastAsia="Arial" w:hAnsi="Arial"/>
          <w:sz w:val="18"/>
          <w:szCs w:val="18"/>
          <w:color w:val="231F20"/>
        </w:rPr>
        <w:t xml:space="preserve"> was attributable to payments for taxes related to employee net share settlement of equity awards of $14.1 million, offset by the proceeds from the exercise of stock options of $5.6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office equipment and capital leases. The following table summarizes our contractual cash obligations, including future interest payments, at </w:t>
      </w:r>
      <w:r>
        <w:rPr>
          <w:rFonts w:ascii="Arial" w:cs="Arial" w:eastAsia="Arial" w:hAnsi="Arial"/>
          <w:sz w:val="18"/>
          <w:szCs w:val="18"/>
          <w:color w:val="000000"/>
        </w:rPr>
        <w:t>March 31, 2018</w:t>
      </w:r>
      <w:r>
        <w:rPr>
          <w:rFonts w:ascii="Arial" w:cs="Arial" w:eastAsia="Arial" w:hAnsi="Arial"/>
          <w:sz w:val="18"/>
          <w:szCs w:val="18"/>
          <w:color w:val="231F20"/>
        </w:rPr>
        <w:t xml:space="preserve"> and the effect such obligations are expected to have on our liquidity and cash flows in future periods: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Payment Due by Period</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2018 (remaining</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 and</w:t>
            </w:r>
          </w:p>
        </w:tc>
      </w:tr>
      <w:tr>
        <w:trPr>
          <w:trHeight w:val="180"/>
        </w:trPr>
        <w:tc>
          <w:tcPr>
            <w:tcW w:w="34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5"/>
                <w:szCs w:val="15"/>
                <w:color w:val="auto"/>
              </w:rPr>
            </w:pPr>
          </w:p>
        </w:tc>
        <w:tc>
          <w:tcPr>
            <w:tcW w:w="124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81" w:lineRule="exact"/>
              <w:rPr>
                <w:sz w:val="20"/>
                <w:szCs w:val="20"/>
                <w:color w:val="auto"/>
              </w:rPr>
            </w:pPr>
            <w:r>
              <w:rPr>
                <w:rFonts w:ascii="Arial" w:cs="Arial" w:eastAsia="Arial" w:hAnsi="Arial"/>
                <w:sz w:val="16"/>
                <w:szCs w:val="16"/>
                <w:b w:val="1"/>
                <w:bCs w:val="1"/>
                <w:color w:val="auto"/>
              </w:rPr>
              <w:t>nine months)</w:t>
            </w:r>
          </w:p>
        </w:tc>
        <w:tc>
          <w:tcPr>
            <w:tcW w:w="220" w:type="dxa"/>
            <w:vAlign w:val="bottom"/>
          </w:tcPr>
          <w:p>
            <w:pPr>
              <w:spacing w:after="0"/>
              <w:rPr>
                <w:sz w:val="15"/>
                <w:szCs w:val="15"/>
                <w:color w:val="auto"/>
              </w:rPr>
            </w:pPr>
          </w:p>
        </w:tc>
        <w:tc>
          <w:tcPr>
            <w:tcW w:w="122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2019-2020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2021-2022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34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22,000</w:t>
            </w:r>
          </w:p>
        </w:tc>
      </w:tr>
      <w:tr>
        <w:trPr>
          <w:trHeight w:val="264"/>
        </w:trPr>
        <w:tc>
          <w:tcPr>
            <w:tcW w:w="34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Capital lease obligations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51,801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22,000</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On October 14, 2016, we entered into a lease agreement (included in the table above) for our new headquarters office facility. The lease payments commenced on May 1, 2018 and the lease has a ten-year term through April 2028. The total commitment of $38.6 million is payable monthly with escalating rental payments throughout the lease term. In connection with this lease, we have provided the landlord with a $1.2 million standby letter of credit </w:t>
      </w:r>
      <w:r>
        <w:rPr>
          <w:rFonts w:ascii="Arial" w:cs="Arial" w:eastAsia="Arial" w:hAnsi="Arial"/>
          <w:sz w:val="18"/>
          <w:szCs w:val="18"/>
          <w:color w:val="000000"/>
        </w:rPr>
        <w:t>to secure our obligations through the end of the lease term, which was classified as restricted cash in the</w:t>
      </w:r>
      <w:r>
        <w:rPr>
          <w:rFonts w:ascii="Arial" w:cs="Arial" w:eastAsia="Arial" w:hAnsi="Arial"/>
          <w:sz w:val="18"/>
          <w:szCs w:val="18"/>
          <w:color w:val="231F20"/>
        </w:rPr>
        <w:t xml:space="preserve"> </w:t>
      </w:r>
      <w:r>
        <w:rPr>
          <w:rFonts w:ascii="Arial" w:cs="Arial" w:eastAsia="Arial" w:hAnsi="Arial"/>
          <w:sz w:val="18"/>
          <w:szCs w:val="18"/>
          <w:color w:val="000000"/>
        </w:rPr>
        <w:t>accompanying condensed consolidated balance sheets.</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8"/>
          <w:szCs w:val="18"/>
          <w:color w:val="000000"/>
        </w:rPr>
        <w:t>three months ended March 31, 2018</w:t>
      </w:r>
      <w:r>
        <w:rPr>
          <w:rFonts w:ascii="Arial" w:cs="Arial" w:eastAsia="Arial" w:hAnsi="Arial"/>
          <w:sz w:val="18"/>
          <w:szCs w:val="18"/>
          <w:color w:val="231F20"/>
        </w:rPr>
        <w:t>, we made regular payments on our operating lease obligations of $1.0 million.</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Capital lease obligations represent financing on data center storage equipment. During the </w:t>
      </w:r>
      <w:r>
        <w:rPr>
          <w:rFonts w:ascii="Arial" w:cs="Arial" w:eastAsia="Arial" w:hAnsi="Arial"/>
          <w:sz w:val="18"/>
          <w:szCs w:val="18"/>
          <w:color w:val="000000"/>
        </w:rPr>
        <w:t>three months ended March 31, 2018</w:t>
      </w:r>
      <w:r>
        <w:rPr>
          <w:rFonts w:ascii="Arial" w:cs="Arial" w:eastAsia="Arial" w:hAnsi="Arial"/>
          <w:sz w:val="18"/>
          <w:szCs w:val="18"/>
          <w:color w:val="231F20"/>
        </w:rPr>
        <w:t>, we made regular principal payments on our capital lease obligations of $0.7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2017, filed with the SEC on February 23, 2018,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Except for the changes below, there have been no material changes to our critical accounting policies and estimates as compared to the critical accounting policies and estimates as described in our Annual Report on Form 10-K for the fiscal year ended December 31, 2017, filed with the SEC on February 23, 2018.</w:t>
      </w:r>
    </w:p>
    <w:p>
      <w:pPr>
        <w:spacing w:after="0" w:line="2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We adopted ASC 606 Revenue from Contracts with Customers with a date of initial application of January 1, 2018. We adopted ASC 606 using the modified retrospective method and recognized the cumulative effect as an adjustment to the opening balance of equity at January 1, 2018. Therefore, the comparative information has not been adjusted and continues to be reported under ASC 605. The significant impact of adopting ASC 606 was related to the deferral of sales commission costs for new business and when customers increase their renewal orders (“upsells”). We previously expensed sales commission as incurred. Under ASC 606, sales commissions cost related to new business and upsells are recorded as an asset. We expense the commission cost as a selling expense on a straight-line basis over a period of five years. Five years represents the estimated life of the customer relationship taking into account factors such as peer estimates of technology lives and customer lives as well as our own historical data. Applying the practical expedient in ASC 340-40-25-4, we expense commissions related to contract renewals with a renewal contract term of one year or less. The current and noncurrent portions of deferred commissions are included in prepaid expenses and other current assets, and other noncurrent assets, respectively,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Pounds.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have $393.9 million in cash, cash equivalents and short-term and long-term investments at March 31, 2018. Cash and cash equivalents include cash held in banks, highly liquid money market funds, U.S. government agency securities, and commercial paper. Investments consist of fixed-income U.S. government agency securities, corporate bonds, asset-backed securities and commercial paper. We determine the appropriate balance sheet classification of our investments at the time of purchase and reevaluate such designation at each balance sheet date. We classify our investments as either short-term or long-term based on each instrument's underlying contractual maturity date.</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2018,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 We implemented internal controls to ensure we adequately evaluated our contracts and properly assessed the impact of the new accounting standard related to revenue recognition on our financial statements. There were no significant changes to our internal control over financial reporting due to the adoption of the new standard.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We derived approximately 74% of our revenues from subscriptions to our VM solutions for the three months ended March 31, 2018.</w:t>
      </w:r>
    </w:p>
    <w:p>
      <w:pPr>
        <w:spacing w:after="0" w:line="22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229" w:lineRule="exact"/>
        <w:rPr>
          <w:sz w:val="20"/>
          <w:szCs w:val="20"/>
          <w:color w:val="auto"/>
        </w:rPr>
      </w:pPr>
    </w:p>
    <w:p>
      <w:pPr>
        <w:jc w:val="both"/>
        <w:ind w:firstLine="392"/>
        <w:spacing w:after="0" w:line="35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03" w:lineRule="exact"/>
        <w:rPr>
          <w:rFonts w:ascii="Arial" w:cs="Arial" w:eastAsia="Arial" w:hAnsi="Arial"/>
          <w:sz w:val="18"/>
          <w:szCs w:val="18"/>
          <w:color w:val="auto"/>
        </w:rPr>
      </w:pPr>
    </w:p>
    <w:p>
      <w:pPr>
        <w:ind w:left="660" w:hanging="328"/>
        <w:spacing w:after="0" w:line="3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income tax credits that we recognize resulting from excess tax benefits related to stock-based compensation;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6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3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71"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VM for our business and revenues to grow as we expect. Revenues from our other solutions such as Policy Compliance, PCI Compliance, Security Assessment Questionnaire, Web Application Scanning, and Web Application Firewall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five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We compete with large and small public companies, such as FireEye, Inc., Imperva, Inc., International Business Machines Corporation, Micro Focus International plc, Rapid7, Inc. and Symantec Corporation, as well as privately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 xml:space="preserve">held security providers including Barracuda Networks Inc., BeyondTrust Software, Inc., Carbon Black, Inc., </w:t>
      </w:r>
      <w:r>
        <w:rPr>
          <w:rFonts w:ascii="Arial" w:cs="Arial" w:eastAsia="Arial" w:hAnsi="Arial"/>
          <w:sz w:val="18"/>
          <w:szCs w:val="18"/>
          <w:color w:val="000000"/>
        </w:rPr>
        <w:t>CrowdStrike Inc., Tanium Inc.,</w:t>
      </w:r>
      <w:r>
        <w:rPr>
          <w:rFonts w:ascii="Arial" w:cs="Arial" w:eastAsia="Arial" w:hAnsi="Arial"/>
          <w:sz w:val="18"/>
          <w:szCs w:val="18"/>
          <w:color w:val="231F20"/>
        </w:rPr>
        <w:t xml:space="preserve"> </w:t>
      </w:r>
      <w:r>
        <w:rPr>
          <w:rFonts w:ascii="Arial" w:cs="Arial" w:eastAsia="Arial" w:hAnsi="Arial"/>
          <w:sz w:val="18"/>
          <w:szCs w:val="18"/>
          <w:color w:val="000000"/>
        </w:rPr>
        <w:t xml:space="preserve">Tenable Network Security, Inc., Tripwire, Inc. and Trustwave Holdings, Inc. </w:t>
      </w:r>
      <w:r>
        <w:rPr>
          <w:rFonts w:ascii="Arial" w:cs="Arial" w:eastAsia="Arial" w:hAnsi="Arial"/>
          <w:sz w:val="18"/>
          <w:szCs w:val="18"/>
          <w:color w:val="231F20"/>
        </w:rPr>
        <w:t>We also seek to replace IT security and compliance solutions that</w:t>
      </w:r>
      <w:r>
        <w:rPr>
          <w:rFonts w:ascii="Arial" w:cs="Arial" w:eastAsia="Arial" w:hAnsi="Arial"/>
          <w:sz w:val="18"/>
          <w:szCs w:val="18"/>
          <w:color w:val="000000"/>
        </w:rPr>
        <w:t xml:space="preserve"> </w:t>
      </w:r>
      <w:r>
        <w:rPr>
          <w:rFonts w:ascii="Arial" w:cs="Arial" w:eastAsia="Arial" w:hAnsi="Arial"/>
          <w:sz w:val="18"/>
          <w:szCs w:val="18"/>
          <w:color w:val="231F20"/>
        </w:rPr>
        <w:t>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9"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6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loss of customers and sales, increased costs to remedy any incorrect information or problem, or claims by aggrieved parties. Similar issues may be generated by the misuse of our tools to identify and exploit vulnerabilities.</w:t>
      </w:r>
    </w:p>
    <w:p>
      <w:pPr>
        <w:spacing w:after="0" w:line="19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General Data Protection Regulation, or GDPR, to supersede the Data Protection Directive. This regulation, which will take full effect on May 25, 2018, will cause EU data protection requirements to be more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stringent and provide for greater penalties. Noncompliance with the GDPR can trigger fines of up to €20 million or 4% of global annual revenues, whichever is higher.</w:t>
      </w:r>
    </w:p>
    <w:p>
      <w:pPr>
        <w:spacing w:after="0" w:line="196"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in June 2016, United Kingdom voters approved an exit from the European Union, commonly referred to as “Brexit,” which could also lead to further legislative and regulatory changes. Additionally, an October 2015 ruling of the Court of Justice of the European Union invalidated the U.S.-EU Safe Harbor Framework as a method of compliance with European restrictions regarding the transfer of personal data outside of the European Economic Area, or EEA. U.S. and EU authorities reached a political agreement in February 2016 regarding a new means for legitimizing personal data transfers from the EEA to the U.S., the EU-U.S. Privacy Shield Framework, and we have joined the EU-U.S. Privacy Shield Framework and a related program, the Swiss-U.S. Privacy Shield Framework. The EU-U.S. Privacy Shield Framework is subject to legal challenge, however, and it or the Swiss-U.S. Privacy Shield Framework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212"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as of March 31, 2018, approximately 58% of our employees were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231F20"/>
        </w:rPr>
        <w:t>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Our headcount increased from 510 employees at the beginning of </w:t>
      </w:r>
      <w:r>
        <w:rPr>
          <w:rFonts w:ascii="Arial" w:cs="Arial" w:eastAsia="Arial" w:hAnsi="Arial"/>
          <w:sz w:val="18"/>
          <w:szCs w:val="18"/>
          <w:color w:val="000000"/>
        </w:rPr>
        <w:t xml:space="preserve">2016 </w:t>
      </w:r>
      <w:r>
        <w:rPr>
          <w:rFonts w:ascii="Arial" w:cs="Arial" w:eastAsia="Arial" w:hAnsi="Arial"/>
          <w:sz w:val="18"/>
          <w:szCs w:val="18"/>
          <w:color w:val="231F20"/>
        </w:rPr>
        <w:t>to 934 employees at March 31, 2018. We rely on information technology systems to help manage critical functions such as order</w:t>
      </w:r>
      <w:r>
        <w:rPr>
          <w:rFonts w:ascii="Arial" w:cs="Arial" w:eastAsia="Arial" w:hAnsi="Arial"/>
          <w:sz w:val="18"/>
          <w:szCs w:val="18"/>
          <w:color w:val="000000"/>
        </w:rPr>
        <w:t xml:space="preserve"> </w:t>
      </w:r>
      <w:r>
        <w:rPr>
          <w:rFonts w:ascii="Arial" w:cs="Arial" w:eastAsia="Arial" w:hAnsi="Arial"/>
          <w:sz w:val="18"/>
          <w:szCs w:val="18"/>
          <w:color w:val="231F20"/>
        </w:rPr>
        <w:t>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three months ended March 31, 2018, we derived approximately </w:t>
      </w:r>
      <w:r>
        <w:rPr>
          <w:rFonts w:ascii="Arial" w:cs="Arial" w:eastAsia="Arial" w:hAnsi="Arial"/>
          <w:sz w:val="18"/>
          <w:szCs w:val="18"/>
          <w:color w:val="000000"/>
        </w:rPr>
        <w:t>40%</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rely on third-party software -as-a-service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the three months ended March 31, 2018, we incurred approximately 18% of our expenses outside of the United States in foreign currencies, primarily Euros, British Pounds, and Indian Rupee, principally with respect to salaries and related personnel expenses associated with our European and Indian operations. Additionally, for the three months ended March 31, 2018, approximately 18%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21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certain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for enforcement of intellectual property rights may be weak. We may be unable to determine the extent of any unauthorized use or infringement of our solutions, technologies or intellectual property rights.</w:t>
      </w:r>
    </w:p>
    <w:p>
      <w:pPr>
        <w:spacing w:after="0" w:line="19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As of March 31, 2018, we have twelve issued patents and several pending U.S. patent applications, and we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accessing the Internet or on commerce conducted via the Internet. These laws or charges could limit the viability of Internet-based solutions such as ours and reduce the demand for our solutions.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 acquisitions may still be viewed negatively by customers, financial markets or</w:t>
      </w:r>
      <w:r>
        <w:rPr>
          <w:rFonts w:ascii="Arial" w:cs="Arial" w:eastAsia="Arial" w:hAnsi="Arial"/>
          <w:sz w:val="18"/>
          <w:szCs w:val="18"/>
          <w:color w:val="231F20"/>
        </w:rPr>
        <w:t xml:space="preserve"> </w:t>
      </w:r>
      <w:r>
        <w:rPr>
          <w:rFonts w:ascii="Arial" w:cs="Arial" w:eastAsia="Arial" w:hAnsi="Arial"/>
          <w:sz w:val="18"/>
          <w:szCs w:val="18"/>
          <w:color w:val="000000"/>
        </w:rPr>
        <w:t xml:space="preserve">investors. </w:t>
      </w:r>
      <w:r>
        <w:rPr>
          <w:rFonts w:ascii="Arial" w:cs="Arial" w:eastAsia="Arial" w:hAnsi="Arial"/>
          <w:sz w:val="18"/>
          <w:szCs w:val="18"/>
          <w:color w:val="231F20"/>
        </w:rPr>
        <w:t>The acquisition and integration process is complex, expensive and time-consuming, and may cause an interruption of, or loss of</w:t>
      </w:r>
      <w:r>
        <w:rPr>
          <w:rFonts w:ascii="Arial" w:cs="Arial" w:eastAsia="Arial" w:hAnsi="Arial"/>
          <w:sz w:val="18"/>
          <w:szCs w:val="18"/>
          <w:color w:val="000000"/>
        </w:rPr>
        <w:t xml:space="preserve"> </w:t>
      </w:r>
      <w:r>
        <w:rPr>
          <w:rFonts w:ascii="Arial" w:cs="Arial" w:eastAsia="Arial" w:hAnsi="Arial"/>
          <w:sz w:val="18"/>
          <w:szCs w:val="18"/>
          <w:color w:val="231F20"/>
        </w:rPr>
        <w:t xml:space="preserve">momentum in, product development and sales activities and operations of both companies </w:t>
      </w:r>
      <w:r>
        <w:rPr>
          <w:rFonts w:ascii="Arial" w:cs="Arial" w:eastAsia="Arial" w:hAnsi="Arial"/>
          <w:sz w:val="18"/>
          <w:szCs w:val="18"/>
          <w:color w:val="000000"/>
        </w:rPr>
        <w:t>and we may incur substantial cost and expense, as</w:t>
      </w:r>
      <w:r>
        <w:rPr>
          <w:rFonts w:ascii="Arial" w:cs="Arial" w:eastAsia="Arial" w:hAnsi="Arial"/>
          <w:sz w:val="18"/>
          <w:szCs w:val="18"/>
          <w:color w:val="231F20"/>
        </w:rPr>
        <w:t xml:space="preserve"> </w:t>
      </w:r>
      <w:r>
        <w:rPr>
          <w:rFonts w:ascii="Arial" w:cs="Arial" w:eastAsia="Arial" w:hAnsi="Arial"/>
          <w:sz w:val="18"/>
          <w:szCs w:val="18"/>
          <w:color w:val="000000"/>
        </w:rPr>
        <w:t>well as divert the attention of management. We may issue equity securities which could dilute current stockholders’ ownership, incur debt, assume contingent or other liabilities and expend cash in acquisitions, which could negatively impact our financial position, stockholder equity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and stock price. </w:t>
      </w:r>
      <w:r>
        <w:rPr>
          <w:rFonts w:ascii="Arial" w:cs="Arial" w:eastAsia="Arial" w:hAnsi="Arial"/>
          <w:sz w:val="18"/>
          <w:szCs w:val="18"/>
          <w:color w:val="231F20"/>
        </w:rPr>
        <w:t>We may not find suitable acquisition candidates, and acquisitions we complete may be unsuccessful. If we consummate a</w:t>
      </w:r>
      <w:r>
        <w:rPr>
          <w:rFonts w:ascii="Arial" w:cs="Arial" w:eastAsia="Arial" w:hAnsi="Arial"/>
          <w:sz w:val="18"/>
          <w:szCs w:val="18"/>
          <w:color w:val="auto"/>
        </w:rPr>
        <w:t xml:space="preserve"> </w:t>
      </w:r>
      <w:r>
        <w:rPr>
          <w:rFonts w:ascii="Arial" w:cs="Arial" w:eastAsia="Arial" w:hAnsi="Arial"/>
          <w:sz w:val="18"/>
          <w:szCs w:val="18"/>
          <w:color w:val="231F20"/>
        </w:rPr>
        <w:t>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or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31F20"/>
        </w:rPr>
        <w:t>We have historically expensed commissions associated with sales of our solutions immediately upon receipt of a subscription order from a customer and generally recognize the revenues associated with such sale over the term of the agreement. Accordingly, our historical operating income in any period may not be indicative of our financial health and future performance. With the adoption of Accounting Standards Codification ("ASC") 606 Revenue from Contracts with Customers effective January 1, 2018, we commenced capitalizing of our commissions but elected to use the practical expedient in ASC 606 and expense commissions related to contracts with a renewal contract term of one year or less. As a result of the adoption of ASC 606, our future operating results may vary from period to period as our commission expense will not be directly comparable to historical periods.</w:t>
      </w:r>
    </w:p>
    <w:p>
      <w:pPr>
        <w:spacing w:after="0" w:line="300"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Through December 2017, we expensed commissions paid to our sales personnel in the quarter in which the related order is received. In contrast, we have generally recognized the revenues associated with a sale of our solutions ratably over the term of the subscription, which is typically one year. Accordingly, our historical results may have fluctuated based on timing of commission expenses as compared to revenue recognized. With the adoption of ASC 606, our operating results will also fluctuate and not be comparable to historical periods, and will continue to fluctuate as we will generally capitalize commissions except for renewal sales that are one year or less. In addition, amortization of expense from previously capitalized contracts is expected to increase over time as our opening capitalized commission asset balance upon adoption of ASC 606 only included open contracts as of December 31, 2017. Accordingly, we expect our commission expense to grow in future periods following the initial adoption of ASC 606. Without the adoption of ASC 606, commission expenses would have been $0.5 million higher in our first quarter of 2018.</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$54.4 million as of December 31, 2017. As a result of the Tax Cuts and Jobs Act (the "2017 Tax Act”), which was enacted by the U.S. federal government on December 22, 2017, our federal tax rate decreased in 2018. Accordingly, our operating results have fluctuated and may not be comparable to historical periods and may continue to fluctuate in the future. Increases in our effective tax rate could harm our operating results.</w:t>
      </w:r>
    </w:p>
    <w:p>
      <w:pPr>
        <w:spacing w:after="0" w:line="206"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Uncertainties in the interpretation and application of the 2017 Tax Act could materially affect our tax obligations and effective tax rate.</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The 2017 Tax Act significantly affected U.S. tax law by changing how the U.S. imposes income tax on multinational corporations. 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2017 Tax Act. In accordance with SAB 118, the effects of the 2017 Tax Act may be adjusted within a one-year measurement period from the enactment date of the 2017 Tax Act for items that were previously reported as provisional estimates, or where a provisional estimate could not be made. We will continue to assess forthcoming guidance and accounting interpretations on the effects of the 2017 Tax Act and expect to complete our analysis within the measurement period in accordance with the SEC guidance. Final resolution of provisional amounts relating to the effects of the 2017 Tax Act may impact our effective tax rate, and may have an adverse effect on our business, financial condition, results of operations, or cash flows.</w:t>
      </w:r>
    </w:p>
    <w:p>
      <w:pPr>
        <w:spacing w:after="0" w:line="19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additional accounting or internal audit staff.</w:t>
      </w:r>
    </w:p>
    <w:p>
      <w:pPr>
        <w:spacing w:after="0" w:line="20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U.S. GAAP. Our </w:t>
      </w:r>
      <w:r>
        <w:rPr>
          <w:rFonts w:ascii="Arial" w:cs="Arial" w:eastAsia="Arial" w:hAnsi="Arial"/>
          <w:sz w:val="18"/>
          <w:szCs w:val="18"/>
          <w:color w:val="231F20"/>
        </w:rPr>
        <w:t>current controls and any new controls that we develop</w:t>
      </w:r>
      <w:r>
        <w:rPr>
          <w:rFonts w:ascii="Arial" w:cs="Arial" w:eastAsia="Arial" w:hAnsi="Arial"/>
          <w:sz w:val="18"/>
          <w:szCs w:val="18"/>
          <w:color w:val="000000"/>
        </w:rPr>
        <w:t xml:space="preserve"> </w:t>
      </w:r>
      <w:r>
        <w:rPr>
          <w:rFonts w:ascii="Arial" w:cs="Arial" w:eastAsia="Arial" w:hAnsi="Arial"/>
          <w:sz w:val="18"/>
          <w:szCs w:val="18"/>
          <w:color w:val="231F20"/>
        </w:rPr>
        <w:t>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2017,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4" w:lineRule="exact"/>
        <w:rPr>
          <w:sz w:val="20"/>
          <w:szCs w:val="20"/>
          <w:color w:val="auto"/>
        </w:rPr>
      </w:pPr>
    </w:p>
    <w:p>
      <w:pPr>
        <w:ind w:left="660" w:hanging="328"/>
        <w:spacing w:after="0" w:line="35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As of April 19, 2018, our executive officers, directors and holders of 10% or more of our outstanding common stock beneficially owned, in the aggregate, approximately 29%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2018, we had approximately 39.0 million shares of our common stock outstanding. Certain holders of shares of our common stock have rights, subject to some conditions, to require us to file registration statements covering their shares or to include these shares in registration statements that we may file for ourselves or other stockholders.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March 31, 2018, there were approximately 1.3 million restricted stock units and options to purchase approximately 4.2 million shares of our common stock outstanding. If such options are exercised and restricted stock units are released, these additional shares will become available for sale. As of March 31, 2018, we had an aggregate of 4.2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cannot guarantee that our recently announced stock repurchase program will be fully consummated or that it will enhance stockholder value, and any stock repurchases we make could affect the price of our common stock.</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In February 2018, we announced a $100.0 million stock repurchase program.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three months ended March 31, 2018, we repurchased 21,288 shares of our common stock for an aggregate purchase price of approximately $1.5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February 5, 2018, our Board of Directors authorized a $ 100.0 million share repurchase program, which was announced on February 12, 2018. Our stock repurchase authorization does not have an expiration date. Our stock repurchases may be effected from time to time through open market purchases or pursuant to a Rule 10b5-1 plan. All share repurchases were made using cash resources. As of March 31, 2018, approximately $98.5 million remained available for share repurchases pursuant to our share repurchase program.</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the first quarter of 2018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2060" w:type="dxa"/>
            <w:vAlign w:val="bottom"/>
            <w:gridSpan w:val="2"/>
          </w:tcPr>
          <w:p>
            <w:pPr>
              <w:ind w:left="60"/>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6"/>
                <w:szCs w:val="16"/>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 Plan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right"/>
              <w:ind w:right="13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Plan or Program</w:t>
            </w: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2018 - January 31, 2018</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360" w:type="dxa"/>
            <w:vAlign w:val="bottom"/>
          </w:tcPr>
          <w:p>
            <w:pPr>
              <w:ind w:left="40"/>
              <w:spacing w:after="0"/>
              <w:rPr>
                <w:sz w:val="20"/>
                <w:szCs w:val="20"/>
                <w:color w:val="auto"/>
              </w:rPr>
            </w:pPr>
            <w:r>
              <w:rPr>
                <w:rFonts w:ascii="Arial" w:cs="Arial" w:eastAsia="Arial" w:hAnsi="Arial"/>
                <w:sz w:val="16"/>
                <w:szCs w:val="16"/>
                <w:color w:val="auto"/>
              </w:rPr>
              <w:t>February 1, 2018 - February 28, 2018</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21,288</w:t>
            </w:r>
          </w:p>
        </w:tc>
        <w:tc>
          <w:tcPr>
            <w:tcW w:w="54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21,288</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98,519,173</w:t>
            </w:r>
          </w:p>
        </w:tc>
      </w:tr>
      <w:tr>
        <w:trPr>
          <w:trHeight w:val="273"/>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1, 2018 - March 31, 2018</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98,519,173</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21,288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231F20"/>
        </w:rPr>
        <w:t>Item 6. Exhibits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Exhibit</w:t>
      </w:r>
    </w:p>
    <w:p>
      <w:pPr>
        <w:ind w:left="5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763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 INS</w:t>
      </w:r>
    </w:p>
    <w:p>
      <w:pPr>
        <w:spacing w:after="0" w:line="293" w:lineRule="exact"/>
        <w:rPr>
          <w:sz w:val="20"/>
          <w:szCs w:val="20"/>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6089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46"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Certification of Chief Executive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65">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Certification of Chief Financial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66">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Certification of Chief Executive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67">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78"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Certification of Chief Financial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68">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231F20"/>
        </w:rPr>
        <w:t>XBRL Instance Document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360" w:space="480"/>
            <w:col w:w="9580"/>
          </w:cols>
          <w:pgMar w:left="240" w:top="360" w:right="239" w:bottom="1440" w:gutter="0" w:footer="0" w:header="0"/>
        </w:sectPr>
      </w:pPr>
    </w:p>
    <w:p>
      <w:pPr>
        <w:spacing w:after="0" w:line="66" w:lineRule="exact"/>
        <w:rPr>
          <w:sz w:val="20"/>
          <w:szCs w:val="20"/>
          <w:color w:val="auto"/>
        </w:rPr>
      </w:pPr>
    </w:p>
    <w:p>
      <w:pPr>
        <w:jc w:val="both"/>
        <w:ind w:left="500" w:hanging="6"/>
        <w:spacing w:after="0" w:line="254" w:lineRule="auto"/>
        <w:tabs>
          <w:tab w:leader="none" w:pos="907"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0" w:right="23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Foster City, State of California on May 8, 2018.</w:t>
      </w:r>
    </w:p>
    <w:p>
      <w:pPr>
        <w:spacing w:after="0" w:line="3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8,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8,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2018,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780" w:hanging="272"/>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8,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2018,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75" w:lineRule="exact"/>
        <w:rPr>
          <w:sz w:val="20"/>
          <w:szCs w:val="20"/>
          <w:color w:val="auto"/>
        </w:rPr>
      </w:pPr>
    </w:p>
    <w:p>
      <w:pPr>
        <w:ind w:left="780" w:hanging="2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8, 2018</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606"/>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decimal"/>
      <w:start w:val="2"/>
    </w:lvl>
  </w:abstractNum>
  <w:abstractNum w:abstractNumId="25">
    <w:nsid w:val="B03E0C6"/>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2019-12-28T22:11:40Z</dcterms:created>
  <dcterms:modified xsi:type="dcterms:W3CDTF">2019-12-28T22:11:40Z</dcterms:modified>
</cp:coreProperties>
</file>