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June 30, 2017</w:t>
      </w:r>
    </w:p>
    <w:p>
      <w:pPr>
        <w:spacing w:after="0" w:line="176"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296"/>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249" w:right="319" w:bottom="1440" w:gutter="0" w:footer="0" w:header="0"/>
        </w:sectPr>
      </w:pPr>
    </w:p>
    <w:p>
      <w:pPr>
        <w:spacing w:after="0" w:line="163" w:lineRule="exact"/>
        <w:rPr>
          <w:sz w:val="24"/>
          <w:szCs w:val="24"/>
          <w:color w:val="auto"/>
        </w:rPr>
      </w:pPr>
    </w:p>
    <w:p>
      <w:pPr>
        <w:ind w:left="40"/>
        <w:spacing w:after="0"/>
        <w:tabs>
          <w:tab w:leader="none" w:pos="4740" w:val="left"/>
          <w:tab w:leader="none" w:pos="5600" w:val="left"/>
        </w:tabs>
        <w:rPr>
          <w:sz w:val="20"/>
          <w:szCs w:val="20"/>
          <w:color w:val="auto"/>
        </w:rPr>
      </w:pPr>
      <w:r>
        <w:rPr>
          <w:rFonts w:ascii="Arial" w:cs="Arial" w:eastAsia="Arial" w:hAnsi="Arial"/>
          <w:sz w:val="16"/>
          <w:szCs w:val="16"/>
          <w:color w:val="231F20"/>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231F20"/>
        </w:rPr>
        <w:t>Accelerated filer</w:t>
      </w:r>
    </w:p>
    <w:p>
      <w:pPr>
        <w:spacing w:after="0" w:line="98" w:lineRule="exact"/>
        <w:rPr>
          <w:sz w:val="24"/>
          <w:szCs w:val="24"/>
          <w:color w:val="auto"/>
        </w:rPr>
      </w:pPr>
    </w:p>
    <w:p>
      <w:pPr>
        <w:ind w:left="40"/>
        <w:spacing w:after="0"/>
        <w:tabs>
          <w:tab w:leader="none" w:pos="4740" w:val="left"/>
          <w:tab w:leader="none" w:pos="65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Emerging growth company</w:t>
      </w:r>
    </w:p>
    <w:p>
      <w:pPr>
        <w:spacing w:after="0" w:line="86" w:lineRule="exact"/>
        <w:rPr>
          <w:sz w:val="24"/>
          <w:szCs w:val="24"/>
          <w:color w:val="auto"/>
        </w:rPr>
      </w:pPr>
    </w:p>
    <w:p>
      <w:pPr>
        <w:ind w:left="4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4" w:lineRule="exact"/>
        <w:rPr>
          <w:sz w:val="24"/>
          <w:szCs w:val="24"/>
          <w:color w:val="auto"/>
        </w:rPr>
      </w:pPr>
    </w:p>
    <w:p>
      <w:pPr>
        <w:spacing w:after="0" w:line="184" w:lineRule="exact"/>
        <w:tabs>
          <w:tab w:leader="none" w:pos="8260" w:val="left"/>
          <w:tab w:leader="none" w:pos="8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July 31, 2017 was 37,521,887.</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600" w:space="420"/>
            <w:col w:w="32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900" w:type="dxa"/>
            <w:vAlign w:val="bottom"/>
            <w:gridSpan w:val="9"/>
          </w:tcPr>
          <w:p>
            <w:pPr>
              <w:ind w:left="36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 xml:space="preserve">Condensed Consolidated Balance Sheets as of </w:t>
              </w:r>
            </w:hyperlink>
            <w:r>
              <w:rPr>
                <w:rFonts w:ascii="Arial" w:cs="Arial" w:eastAsia="Arial" w:hAnsi="Arial"/>
                <w:sz w:val="16"/>
                <w:szCs w:val="16"/>
                <w:color w:val="0000FF"/>
              </w:rPr>
              <w:t>June</w:t>
            </w:r>
            <w:r>
              <w:rPr>
                <w:rFonts w:ascii="Arial" w:cs="Arial" w:eastAsia="Arial" w:hAnsi="Arial"/>
                <w:sz w:val="16"/>
                <w:szCs w:val="16"/>
                <w:color w:val="0000EE"/>
              </w:rPr>
              <w:t xml:space="preserve"> </w:t>
            </w:r>
            <w:r>
              <w:rPr>
                <w:rFonts w:ascii="Arial" w:cs="Arial" w:eastAsia="Arial" w:hAnsi="Arial"/>
                <w:sz w:val="16"/>
                <w:szCs w:val="16"/>
                <w:color w:val="0000FF"/>
              </w:rPr>
              <w:t>30, 2017 and December 31, 2016</w:t>
            </w:r>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Operations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and six months ended June 30, 2017 and 2016</w:t>
            </w:r>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w:t>
              </w:r>
            </w:hyperlink>
            <w:r>
              <w:rPr>
                <w:rFonts w:ascii="Arial" w:cs="Arial" w:eastAsia="Arial" w:hAnsi="Arial"/>
                <w:sz w:val="16"/>
                <w:szCs w:val="16"/>
                <w:color w:val="0000FF"/>
              </w:rPr>
              <w:t>Comprehensive</w:t>
            </w:r>
            <w:r>
              <w:rPr>
                <w:rFonts w:ascii="Arial" w:cs="Arial" w:eastAsia="Arial" w:hAnsi="Arial"/>
                <w:sz w:val="16"/>
                <w:szCs w:val="16"/>
                <w:color w:val="0000EE"/>
              </w:rPr>
              <w:t xml:space="preserve"> </w:t>
            </w:r>
            <w:r>
              <w:rPr>
                <w:rFonts w:ascii="Arial" w:cs="Arial" w:eastAsia="Arial" w:hAnsi="Arial"/>
                <w:sz w:val="16"/>
                <w:szCs w:val="16"/>
                <w:color w:val="0000FF"/>
              </w:rPr>
              <w:t>Income for the three and six months ended June 30, 2017 and 2016</w:t>
            </w:r>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 xml:space="preserve">Condensed Consolidated Statements of Cash Flows for the </w:t>
              </w:r>
            </w:hyperlink>
            <w:r>
              <w:rPr>
                <w:rFonts w:ascii="Arial" w:cs="Arial" w:eastAsia="Arial" w:hAnsi="Arial"/>
                <w:sz w:val="16"/>
                <w:szCs w:val="16"/>
                <w:color w:val="0000FF"/>
              </w:rPr>
              <w:t>six</w:t>
            </w:r>
            <w:r>
              <w:rPr>
                <w:rFonts w:ascii="Arial" w:cs="Arial" w:eastAsia="Arial" w:hAnsi="Arial"/>
                <w:sz w:val="16"/>
                <w:szCs w:val="16"/>
                <w:color w:val="0000EE"/>
              </w:rPr>
              <w:t xml:space="preserve"> </w:t>
            </w:r>
            <w:r>
              <w:rPr>
                <w:rFonts w:ascii="Arial" w:cs="Arial" w:eastAsia="Arial" w:hAnsi="Arial"/>
                <w:sz w:val="16"/>
                <w:szCs w:val="16"/>
                <w:color w:val="0000FF"/>
              </w:rPr>
              <w:t>months ended June 30, 2017 and 2016</w:t>
            </w:r>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4360" w:type="dxa"/>
            <w:vAlign w:val="bottom"/>
            <w:tcBorders>
              <w:top w:val="single" w:sz="8" w:color="0000EE"/>
            </w:tcBorders>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3000" w:type="dxa"/>
            <w:vAlign w:val="bottom"/>
            <w:tcBorders>
              <w:top w:val="single" w:sz="8" w:color="0000FF"/>
            </w:tcBorders>
            <w:gridSpan w:val="3"/>
          </w:tcPr>
          <w:p>
            <w:pPr>
              <w:spacing w:after="0"/>
              <w:rPr>
                <w:sz w:val="21"/>
                <w:szCs w:val="21"/>
                <w:color w:val="auto"/>
              </w:rPr>
            </w:pPr>
          </w:p>
        </w:tc>
        <w:tc>
          <w:tcPr>
            <w:tcW w:w="2440" w:type="dxa"/>
            <w:vAlign w:val="bottom"/>
            <w:gridSpan w:val="3"/>
          </w:tcPr>
          <w:p>
            <w:pPr>
              <w:spacing w:after="0"/>
              <w:rPr>
                <w:sz w:val="21"/>
                <w:szCs w:val="21"/>
                <w:color w:val="auto"/>
              </w:rPr>
            </w:pPr>
          </w:p>
        </w:tc>
        <w:tc>
          <w:tcPr>
            <w:tcW w:w="80" w:type="dxa"/>
            <w:vAlign w:val="bottom"/>
            <w:tcBorders>
              <w:top w:val="single" w:sz="8" w:color="0000EE"/>
            </w:tcBorders>
          </w:tcPr>
          <w:p>
            <w:pPr>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EE"/>
              <w:bottom w:val="single" w:sz="8" w:color="0000FF"/>
            </w:tcBorders>
            <w:gridSpan w:val="1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Quantitative and Qualitative Disclosures About Market Risk</w:t>
              </w:r>
            </w:hyperlink>
          </w:p>
        </w:tc>
        <w:tc>
          <w:tcPr>
            <w:tcW w:w="2000" w:type="dxa"/>
            <w:vAlign w:val="bottom"/>
            <w:tcBorders>
              <w:top w:val="single" w:sz="8" w:color="0000EE"/>
            </w:tcBorders>
            <w:gridSpan w:val="2"/>
          </w:tcPr>
          <w:p>
            <w:pPr>
              <w:spacing w:after="0"/>
              <w:rPr>
                <w:sz w:val="19"/>
                <w:szCs w:val="19"/>
                <w:color w:val="auto"/>
              </w:rPr>
            </w:pPr>
          </w:p>
        </w:tc>
        <w:tc>
          <w:tcPr>
            <w:tcW w:w="3440" w:type="dxa"/>
            <w:vAlign w:val="bottom"/>
            <w:gridSpan w:val="4"/>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33</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9"/>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360" w:type="dxa"/>
            <w:vAlign w:val="bottom"/>
            <w:gridSpan w:val="8"/>
          </w:tcPr>
          <w:p>
            <w:pPr>
              <w:ind w:left="4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35">
              <w:r>
                <w:rPr>
                  <w:rFonts w:ascii="Arial" w:cs="Arial" w:eastAsia="Arial" w:hAnsi="Arial"/>
                  <w:sz w:val="16"/>
                  <w:szCs w:val="16"/>
                  <w:color w:val="0000FF"/>
                  <w:w w:val="99"/>
                </w:rPr>
                <w:t>Legal Proceedings</w:t>
              </w:r>
            </w:hyperlink>
          </w:p>
        </w:tc>
        <w:tc>
          <w:tcPr>
            <w:tcW w:w="84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35">
              <w:r>
                <w:rPr>
                  <w:rFonts w:ascii="Arial" w:cs="Arial" w:eastAsia="Arial" w:hAnsi="Arial"/>
                  <w:sz w:val="16"/>
                  <w:szCs w:val="16"/>
                  <w:color w:val="0000FF"/>
                  <w:w w:val="98"/>
                </w:rPr>
                <w:t>Risk Factors</w:t>
              </w:r>
            </w:hyperlink>
          </w:p>
        </w:tc>
        <w:tc>
          <w:tcPr>
            <w:tcW w:w="8900" w:type="dxa"/>
            <w:vAlign w:val="bottom"/>
            <w:gridSpan w:val="1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56</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3"/>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10"/>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56">
              <w:r>
                <w:rPr>
                  <w:rFonts w:ascii="Arial" w:cs="Arial" w:eastAsia="Arial" w:hAnsi="Arial"/>
                  <w:sz w:val="16"/>
                  <w:szCs w:val="16"/>
                  <w:color w:val="0000FF"/>
                  <w:w w:val="99"/>
                </w:rPr>
                <w:t>Other Information</w:t>
              </w:r>
            </w:hyperlink>
          </w:p>
        </w:tc>
        <w:tc>
          <w:tcPr>
            <w:tcW w:w="854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9"/>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56</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57</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83"/>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130,572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86,737</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148,290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157,119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$687 and $702 as of June 30, 2017 and December 31, 2016, respectively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46,359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47,024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19,055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9,808</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344,276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300,688</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45,003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45,725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42,768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39,401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35,622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16,590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2,096</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471,946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407,004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1,924</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13,836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13,317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 current</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124,738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114,964</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140,498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130,332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16,701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15,528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8,685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165,884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148,591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5)</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June 30, 2017 and</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 2016</w:t>
            </w: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37,501,697 and 35,841,001 shares issued and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outstanding at June 30, 2017 and December 31, 2016</w:t>
            </w:r>
          </w:p>
        </w:tc>
        <w:tc>
          <w:tcPr>
            <w:tcW w:w="2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277,020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266,794</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 (Accumulated deficit)</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29,239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306,062</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258,413</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471,946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407,004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5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55,302</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48,466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108,423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94,714</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92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12,153</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10,260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24,447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19,811</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43,149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38,206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83,976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74,903</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10,525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20,348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17,597</w:t>
            </w:r>
          </w:p>
        </w:tc>
        <w:tc>
          <w:tcPr>
            <w:tcW w:w="0" w:type="dxa"/>
            <w:vAlign w:val="bottom"/>
          </w:tcPr>
          <w:p>
            <w:pPr>
              <w:spacing w:after="0"/>
              <w:rPr>
                <w:sz w:val="1"/>
                <w:szCs w:val="1"/>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15,383</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14,728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31,397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28,895</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8,232</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8,278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15,566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231F20"/>
            </w:tcBorders>
            <w:shd w:val="clear" w:color="auto" w:fill="CCEEFF"/>
          </w:tcPr>
          <w:p>
            <w:pPr>
              <w:spacing w:after="0"/>
              <w:rPr>
                <w:sz w:val="23"/>
                <w:szCs w:val="23"/>
                <w:color w:val="auto"/>
              </w:rPr>
            </w:pPr>
          </w:p>
        </w:tc>
        <w:tc>
          <w:tcPr>
            <w:tcW w:w="102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15,102</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34,140</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32,494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67,311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61,594</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16,665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13,309</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231F20"/>
            </w:tcBorders>
            <w:shd w:val="clear" w:color="auto" w:fill="CCEEFF"/>
          </w:tcPr>
          <w:p>
            <w:pPr>
              <w:spacing w:after="0"/>
              <w:rPr>
                <w:sz w:val="23"/>
                <w:szCs w:val="23"/>
                <w:color w:val="auto"/>
              </w:rPr>
            </w:pPr>
          </w:p>
        </w:tc>
        <w:tc>
          <w:tcPr>
            <w:tcW w:w="102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360</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17,478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13,517</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5,196</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7,202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0.18</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51"/>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37,277</w:t>
            </w: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35,120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36,887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34,869</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39,535</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38,143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39,207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5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7,202</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29,132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8,321</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Change in foreign currency translation loss, net of zero tax</w:t>
            </w:r>
          </w:p>
        </w:tc>
        <w:tc>
          <w:tcPr>
            <w:tcW w:w="9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investments: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Change in net unrealized gain (loss) on investments, net of tax</w:t>
            </w:r>
          </w:p>
        </w:tc>
        <w:tc>
          <w:tcPr>
            <w:tcW w:w="9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273</w:t>
            </w: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reclassification adjustment for net realized gain included in net income</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r>
      <w:tr>
        <w:trPr>
          <w:trHeight w:val="25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change, net of tax</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r>
      <w:tr>
        <w:trPr>
          <w:trHeight w:val="250"/>
        </w:trPr>
        <w:tc>
          <w:tcPr>
            <w:tcW w:w="52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(loss), net</w:t>
            </w:r>
          </w:p>
        </w:tc>
        <w:tc>
          <w:tcPr>
            <w:tcW w:w="960" w:type="dxa"/>
            <w:vAlign w:val="bottom"/>
            <w:tcBorders>
              <w:bottom w:val="single" w:sz="8" w:color="231F20"/>
            </w:tcBorders>
            <w:shd w:val="clear" w:color="auto" w:fill="CCEEFF"/>
          </w:tcPr>
          <w:p>
            <w:pPr>
              <w:spacing w:after="0"/>
              <w:rPr>
                <w:sz w:val="21"/>
                <w:szCs w:val="21"/>
                <w:color w:val="auto"/>
              </w:rPr>
            </w:pPr>
          </w:p>
        </w:tc>
        <w:tc>
          <w:tcPr>
            <w:tcW w:w="54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231F20"/>
            </w:tcBorders>
            <w:shd w:val="clear" w:color="auto" w:fill="CCEEFF"/>
          </w:tcPr>
          <w:p>
            <w:pPr>
              <w:spacing w:after="0"/>
              <w:rPr>
                <w:sz w:val="21"/>
                <w:szCs w:val="21"/>
                <w:color w:val="auto"/>
              </w:rPr>
            </w:pPr>
          </w:p>
        </w:tc>
        <w:tc>
          <w:tcPr>
            <w:tcW w:w="54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231F20"/>
            </w:tcBorders>
            <w:shd w:val="clear" w:color="auto" w:fill="CCEEFF"/>
          </w:tcPr>
          <w:p>
            <w:pPr>
              <w:spacing w:after="0"/>
              <w:rPr>
                <w:sz w:val="21"/>
                <w:szCs w:val="21"/>
                <w:color w:val="auto"/>
              </w:rPr>
            </w:pPr>
          </w:p>
        </w:tc>
        <w:tc>
          <w:tcPr>
            <w:tcW w:w="102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r>
      <w:tr>
        <w:trPr>
          <w:trHeight w:val="243"/>
        </w:trPr>
        <w:tc>
          <w:tcPr>
            <w:tcW w:w="526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7,193</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29,054</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8,644</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29,132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9,783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7,828</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10,779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10,019</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(3,713)</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(20,897)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benefits included in deferred tax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8,368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1,833</w:t>
            </w: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4,886</w:t>
            </w: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10,947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4,237</w:t>
            </w:r>
          </w:p>
        </w:tc>
      </w:tr>
      <w:tr>
        <w:trPr>
          <w:trHeight w:val="270"/>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r>
      <w:tr>
        <w:trPr>
          <w:trHeight w:val="21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48,942</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34,461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(102,665)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(87,364)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111,288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75,156</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(13,179)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(8,966)</w:t>
            </w:r>
          </w:p>
        </w:tc>
      </w:tr>
      <w:tr>
        <w:trPr>
          <w:trHeight w:val="25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(4,556)</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(21,174)</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14,603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9,496</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3,713</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(15,154)</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(551)</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13,209</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43,835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26,496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86,737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91,698</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130,572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118,194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cash flow disclosures: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7,379</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w:t>
            </w:r>
          </w:p>
        </w:tc>
      </w:tr>
      <w:tr>
        <w:trPr>
          <w:trHeight w:val="258"/>
        </w:trPr>
        <w:tc>
          <w:tcPr>
            <w:tcW w:w="8340" w:type="dxa"/>
            <w:vAlign w:val="bottom"/>
          </w:tcPr>
          <w:p>
            <w:pPr>
              <w:ind w:left="280"/>
              <w:spacing w:after="0"/>
              <w:rPr>
                <w:sz w:val="20"/>
                <w:szCs w:val="20"/>
                <w:color w:val="auto"/>
              </w:rPr>
            </w:pPr>
            <w:r>
              <w:rPr>
                <w:rFonts w:ascii="Arial" w:cs="Arial" w:eastAsia="Arial" w:hAnsi="Arial"/>
                <w:sz w:val="14"/>
                <w:szCs w:val="14"/>
                <w:color w:val="auto"/>
              </w:rPr>
              <w:t>Not yet received tenant allowance recorded in other assets, accrued liabilities and other non-current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8,076</w:t>
            </w:r>
          </w:p>
        </w:tc>
        <w:tc>
          <w:tcPr>
            <w:tcW w:w="12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2016</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six month periods ended June 30, 2017 are not necessarily indicative of the results of operations expected for the entire year ending December 31, 2017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2016</w:t>
      </w:r>
      <w:r>
        <w:rPr>
          <w:rFonts w:ascii="Arial" w:cs="Arial" w:eastAsia="Arial" w:hAnsi="Arial"/>
          <w:sz w:val="18"/>
          <w:szCs w:val="18"/>
          <w:color w:val="231F20"/>
        </w:rPr>
        <w:t>, filed with the SEC on February 24, 2017.</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Reclassification</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The Company reclassified certain information technology expenses across the functions that benefit from their support. For the three months ended June 30, 2016, the Company reclassified $0.8 million out of general and administrative expenses. Of this amount the Company reclassified $0.2 million to cost of revenues, $0.3 million to research and development and $0.3 million to sales and marketing. For the six months ended June 30, 2016, the Company reclassified $1.4 million out of general and administrative expenses. Of this amount the Company reclassified $0.3 million to cost of revenues, $0.6 million to research and development and $0.5 million to sales and marketing.</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29" w:lineRule="exact"/>
        <w:rPr>
          <w:sz w:val="20"/>
          <w:szCs w:val="20"/>
          <w:color w:val="auto"/>
        </w:rPr>
      </w:pPr>
    </w:p>
    <w:p>
      <w:pPr>
        <w:ind w:right="100" w:firstLine="392"/>
        <w:spacing w:after="0" w:line="255" w:lineRule="auto"/>
        <w:rPr>
          <w:sz w:val="20"/>
          <w:szCs w:val="20"/>
          <w:color w:val="auto"/>
        </w:rPr>
      </w:pPr>
      <w:r>
        <w:rPr>
          <w:rFonts w:ascii="Arial" w:cs="Arial" w:eastAsia="Arial" w:hAnsi="Arial"/>
          <w:sz w:val="18"/>
          <w:szCs w:val="18"/>
          <w:color w:val="231F20"/>
        </w:rPr>
        <w:t xml:space="preserve">In March 2016, the FASB issued ASU 2016-09, </w:t>
      </w:r>
      <w:r>
        <w:rPr>
          <w:rFonts w:ascii="Arial" w:cs="Arial" w:eastAsia="Arial" w:hAnsi="Arial"/>
          <w:sz w:val="18"/>
          <w:szCs w:val="18"/>
          <w:i w:val="1"/>
          <w:iCs w:val="1"/>
          <w:color w:val="231F20"/>
        </w:rPr>
        <w:t>Compensation - Stock Compensation (Topic 718): Improvements to Employee Share-Based Payment Accounting</w:t>
      </w:r>
      <w:r>
        <w:rPr>
          <w:rFonts w:ascii="Arial" w:cs="Arial" w:eastAsia="Arial" w:hAnsi="Arial"/>
          <w:sz w:val="18"/>
          <w:szCs w:val="18"/>
          <w:color w:val="231F20"/>
        </w:rPr>
        <w:t>, (ASU 2016-09) intended to simplify and improve various aspects related to how employee-share based payment</w:t>
      </w:r>
      <w:r>
        <w:rPr>
          <w:rFonts w:ascii="Arial" w:cs="Arial" w:eastAsia="Arial" w:hAnsi="Arial"/>
          <w:sz w:val="18"/>
          <w:szCs w:val="18"/>
          <w:i w:val="1"/>
          <w:iCs w:val="1"/>
          <w:color w:val="231F20"/>
        </w:rPr>
        <w:t xml:space="preserve"> </w:t>
      </w:r>
      <w:r>
        <w:rPr>
          <w:rFonts w:ascii="Arial" w:cs="Arial" w:eastAsia="Arial" w:hAnsi="Arial"/>
          <w:sz w:val="18"/>
          <w:szCs w:val="18"/>
          <w:color w:val="231F20"/>
        </w:rPr>
        <w:t>transactions are accounted for and presented in the financial statements. The ASU addresses income tax consequences, classification of awards as either equity or liabilities, classification on the statement of cash flows and forfeiture rate calculations. This guidance is effective for public business entities in fiscal years, and interim periods within those fiscal years, beginning after December 15, 2016. The Company adopted this guidance in its first quarter of 2017 and elected to apply this adoption prospectively. Prior periods have not been adjusted. The Company has made the accounting policy election to continue to estimate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41" w:right="29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231F20"/>
        </w:rPr>
        <w:t>forfeitures expected to occur to determine the amount of stock-based compensation expense to record each period. See Note 8 for information regarding the impact on the Company's financial statements.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Revenue from Contracts with Customers</w:t>
      </w:r>
    </w:p>
    <w:p>
      <w:pPr>
        <w:spacing w:after="0" w:line="26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231F20"/>
        </w:rPr>
        <w:t xml:space="preserve">In May 2014, the Financial Accounting Standards Board (FASB) issued Accounting Standards Update (ASU) 2014-09, </w:t>
      </w:r>
      <w:r>
        <w:rPr>
          <w:rFonts w:ascii="Arial" w:cs="Arial" w:eastAsia="Arial" w:hAnsi="Arial"/>
          <w:sz w:val="18"/>
          <w:szCs w:val="18"/>
          <w:i w:val="1"/>
          <w:iCs w:val="1"/>
          <w:color w:val="231F20"/>
        </w:rPr>
        <w:t>Revenue from</w:t>
      </w:r>
      <w:r>
        <w:rPr>
          <w:rFonts w:ascii="Arial" w:cs="Arial" w:eastAsia="Arial" w:hAnsi="Arial"/>
          <w:sz w:val="18"/>
          <w:szCs w:val="18"/>
          <w:color w:val="231F20"/>
        </w:rPr>
        <w:t xml:space="preserve"> </w:t>
      </w:r>
      <w:r>
        <w:rPr>
          <w:rFonts w:ascii="Arial" w:cs="Arial" w:eastAsia="Arial" w:hAnsi="Arial"/>
          <w:sz w:val="18"/>
          <w:szCs w:val="18"/>
          <w:i w:val="1"/>
          <w:iCs w:val="1"/>
          <w:color w:val="231F20"/>
        </w:rPr>
        <w:t>Contracts with Customers (</w:t>
      </w:r>
      <w:r>
        <w:rPr>
          <w:rFonts w:ascii="Arial" w:cs="Arial" w:eastAsia="Arial" w:hAnsi="Arial"/>
          <w:sz w:val="18"/>
          <w:szCs w:val="18"/>
          <w:color w:val="231F20"/>
        </w:rPr>
        <w:t>ASU 2014-09), as amended, which will supersede nearly all existing revenue recognition guidance. Under ASU</w:t>
      </w:r>
      <w:r>
        <w:rPr>
          <w:rFonts w:ascii="Arial" w:cs="Arial" w:eastAsia="Arial" w:hAnsi="Arial"/>
          <w:sz w:val="18"/>
          <w:szCs w:val="18"/>
          <w:i w:val="1"/>
          <w:iCs w:val="1"/>
          <w:color w:val="231F20"/>
        </w:rPr>
        <w:t xml:space="preserve"> </w:t>
      </w:r>
      <w:r>
        <w:rPr>
          <w:rFonts w:ascii="Arial" w:cs="Arial" w:eastAsia="Arial" w:hAnsi="Arial"/>
          <w:sz w:val="18"/>
          <w:szCs w:val="18"/>
          <w:color w:val="231F20"/>
        </w:rPr>
        <w:t>2014-09, an entity is required to recognize revenue upon transfer of promised goods or services to customers in an amount that reflects the expected consideration received in exchange for those goods or services. ASU 2014-09 defines a five-step process in order to achieve this core principle, which may require the use of judgment and estimates, and also requires expanded qualitative and quantitative disclosures relating to the nature, amount, timing and uncertainty of revenue and cash flows arising from contracts with customers, including significant judgments and estimates used.</w:t>
      </w:r>
    </w:p>
    <w:p>
      <w:pPr>
        <w:spacing w:after="0" w:line="207"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231F20"/>
        </w:rPr>
        <w:t xml:space="preserve">The FASB has recently issued several amendments to the new standard, including clarification on accounting for licenses of intellectual property and identifying performance obligations. The amendments include ASU 2016-08, </w:t>
      </w:r>
      <w:r>
        <w:rPr>
          <w:rFonts w:ascii="Arial" w:cs="Arial" w:eastAsia="Arial" w:hAnsi="Arial"/>
          <w:sz w:val="18"/>
          <w:szCs w:val="18"/>
          <w:i w:val="1"/>
          <w:iCs w:val="1"/>
          <w:color w:val="231F20"/>
        </w:rPr>
        <w:t>Revenue from Contracts with Customers (Topic</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i w:val="1"/>
          <w:iCs w:val="1"/>
          <w:color w:val="231F20"/>
        </w:rPr>
        <w:t>606)-Principal versus Agent Considerations</w:t>
      </w:r>
      <w:r>
        <w:rPr>
          <w:rFonts w:ascii="Arial" w:cs="Arial" w:eastAsia="Arial" w:hAnsi="Arial"/>
          <w:sz w:val="18"/>
          <w:szCs w:val="18"/>
          <w:color w:val="231F20"/>
        </w:rPr>
        <w:t>, which was issued in March 2016, and clarifies the implementation guidance for principal versus</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agent considerations in ASU 2014-09, and ASU 2016-10, </w:t>
      </w:r>
      <w:r>
        <w:rPr>
          <w:rFonts w:ascii="Arial" w:cs="Arial" w:eastAsia="Arial" w:hAnsi="Arial"/>
          <w:sz w:val="18"/>
          <w:szCs w:val="18"/>
          <w:i w:val="1"/>
          <w:iCs w:val="1"/>
          <w:color w:val="231F20"/>
        </w:rPr>
        <w:t>Revenue from Contracts with Customers (Topic 606)-Identifying Performance</w:t>
      </w:r>
      <w:r>
        <w:rPr>
          <w:rFonts w:ascii="Arial" w:cs="Arial" w:eastAsia="Arial" w:hAnsi="Arial"/>
          <w:sz w:val="18"/>
          <w:szCs w:val="18"/>
          <w:color w:val="231F20"/>
        </w:rPr>
        <w:t xml:space="preserve"> </w:t>
      </w:r>
      <w:r>
        <w:rPr>
          <w:rFonts w:ascii="Arial" w:cs="Arial" w:eastAsia="Arial" w:hAnsi="Arial"/>
          <w:sz w:val="18"/>
          <w:szCs w:val="18"/>
          <w:i w:val="1"/>
          <w:iCs w:val="1"/>
          <w:color w:val="231F20"/>
        </w:rPr>
        <w:t>Obligations and Licensing</w:t>
      </w:r>
      <w:r>
        <w:rPr>
          <w:rFonts w:ascii="Arial" w:cs="Arial" w:eastAsia="Arial" w:hAnsi="Arial"/>
          <w:sz w:val="18"/>
          <w:szCs w:val="18"/>
          <w:color w:val="231F20"/>
        </w:rPr>
        <w:t>, which was issued in April 2016, and amends the guidance in ASU 2014-09 related to identifying performance</w:t>
      </w:r>
      <w:r>
        <w:rPr>
          <w:rFonts w:ascii="Arial" w:cs="Arial" w:eastAsia="Arial" w:hAnsi="Arial"/>
          <w:sz w:val="18"/>
          <w:szCs w:val="18"/>
          <w:i w:val="1"/>
          <w:iCs w:val="1"/>
          <w:color w:val="231F20"/>
        </w:rPr>
        <w:t xml:space="preserve"> </w:t>
      </w:r>
      <w:r>
        <w:rPr>
          <w:rFonts w:ascii="Arial" w:cs="Arial" w:eastAsia="Arial" w:hAnsi="Arial"/>
          <w:sz w:val="18"/>
          <w:szCs w:val="18"/>
          <w:color w:val="231F20"/>
        </w:rPr>
        <w:t>obligations and accounting for licenses of intellectual property.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The Company will adopt the new standard effective January 1, 2018.</w:t>
      </w:r>
    </w:p>
    <w:p>
      <w:pPr>
        <w:spacing w:after="0" w:line="206" w:lineRule="exact"/>
        <w:rPr>
          <w:sz w:val="20"/>
          <w:szCs w:val="20"/>
          <w:color w:val="auto"/>
        </w:rPr>
      </w:pPr>
    </w:p>
    <w:p>
      <w:pPr>
        <w:jc w:val="both"/>
        <w:ind w:right="220" w:firstLine="648"/>
        <w:spacing w:after="0" w:line="250" w:lineRule="auto"/>
        <w:rPr>
          <w:sz w:val="20"/>
          <w:szCs w:val="20"/>
          <w:color w:val="auto"/>
        </w:rPr>
      </w:pPr>
      <w:r>
        <w:rPr>
          <w:rFonts w:ascii="Arial" w:cs="Arial" w:eastAsia="Arial" w:hAnsi="Arial"/>
          <w:sz w:val="18"/>
          <w:szCs w:val="18"/>
          <w:color w:val="auto"/>
        </w:rPr>
        <w:t>The Company is continuing to assess the impact of adopting ASU 2014-09 on its financial position, results of operations, cash flows and related disclosures and has not yet determined whether the effect will be material. Additionally, as the Company continues to assess the new standard along with industry trends and additional interpretive guidance, the Company may adjust its implementation plan accordingly.</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currently believes the new standard will have the most significant impacts relating to the potential deferral of sales commissions and contract costs and the accounting for financing components of certain long term contracts.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Company currently plans to adopt using the modified retrospective approach.</w:t>
      </w:r>
    </w:p>
    <w:p>
      <w:pPr>
        <w:spacing w:after="0" w:line="20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231F20"/>
        </w:rPr>
        <w:t xml:space="preserve">In January 2016, the FASB issued ASU 2016-01, </w:t>
      </w:r>
      <w:r>
        <w:rPr>
          <w:rFonts w:ascii="Arial" w:cs="Arial" w:eastAsia="Arial" w:hAnsi="Arial"/>
          <w:sz w:val="18"/>
          <w:szCs w:val="18"/>
          <w:i w:val="1"/>
          <w:iCs w:val="1"/>
          <w:color w:val="231F20"/>
        </w:rPr>
        <w:t>Financial Instruments - Overall (Subtopic 825-10): Recognition and Measurement of</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Assets and Financial Liabilities</w:t>
      </w:r>
      <w:r>
        <w:rPr>
          <w:rFonts w:ascii="Arial" w:cs="Arial" w:eastAsia="Arial" w:hAnsi="Arial"/>
          <w:sz w:val="18"/>
          <w:szCs w:val="18"/>
          <w:color w:val="231F20"/>
        </w:rPr>
        <w:t>, which will impact certain aspects of recognition, measurement, presentation and disclosure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financial instruments. </w:t>
      </w:r>
      <w:r>
        <w:rPr>
          <w:rFonts w:ascii="Arial" w:cs="Arial" w:eastAsia="Arial" w:hAnsi="Arial"/>
          <w:sz w:val="18"/>
          <w:szCs w:val="18"/>
          <w:color w:val="000000"/>
        </w:rPr>
        <w:t>The guidance will impact the accounting for equity investments, financial liabilities under the fair value option, and the</w:t>
      </w:r>
      <w:r>
        <w:rPr>
          <w:rFonts w:ascii="Arial" w:cs="Arial" w:eastAsia="Arial" w:hAnsi="Arial"/>
          <w:sz w:val="18"/>
          <w:szCs w:val="18"/>
          <w:color w:val="231F20"/>
        </w:rPr>
        <w:t xml:space="preserve"> </w:t>
      </w:r>
      <w:r>
        <w:rPr>
          <w:rFonts w:ascii="Arial" w:cs="Arial" w:eastAsia="Arial" w:hAnsi="Arial"/>
          <w:sz w:val="18"/>
          <w:szCs w:val="18"/>
          <w:color w:val="000000"/>
        </w:rPr>
        <w:t xml:space="preserve">presentation and disclosure requirements for financial instruments. </w:t>
      </w:r>
      <w:r>
        <w:rPr>
          <w:rFonts w:ascii="Arial" w:cs="Arial" w:eastAsia="Arial" w:hAnsi="Arial"/>
          <w:sz w:val="18"/>
          <w:szCs w:val="18"/>
          <w:color w:val="231F20"/>
        </w:rPr>
        <w:t>This guidance is effective for public business entities in fiscal years, and</w:t>
      </w:r>
      <w:r>
        <w:rPr>
          <w:rFonts w:ascii="Arial" w:cs="Arial" w:eastAsia="Arial" w:hAnsi="Arial"/>
          <w:sz w:val="18"/>
          <w:szCs w:val="18"/>
          <w:color w:val="000000"/>
        </w:rPr>
        <w:t xml:space="preserve"> </w:t>
      </w:r>
      <w:r>
        <w:rPr>
          <w:rFonts w:ascii="Arial" w:cs="Arial" w:eastAsia="Arial" w:hAnsi="Arial"/>
          <w:sz w:val="18"/>
          <w:szCs w:val="18"/>
          <w:color w:val="231F20"/>
        </w:rPr>
        <w:t>interim periods within those fiscal years, beginning after December 15, 2017. The Company is currently evaluating the impact this ASU will have on its consolidated financial statements.</w:t>
      </w:r>
    </w:p>
    <w:p>
      <w:pPr>
        <w:spacing w:after="0" w:line="183"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xml:space="preserve"> which requires, among other things, lease assets and lease liabilities arising from leases, including operating leases, to be recognized on the balance sheet. In addition, this ASU requires disclosing key information about leasing arrangements. This guidance supersedes existing lease guidance and is effective for public business entities in fiscal years, and interim periods within those fiscal years, beginning after December 15, 2018. </w:t>
      </w:r>
      <w:r>
        <w:rPr>
          <w:rFonts w:ascii="Arial" w:cs="Arial" w:eastAsia="Arial" w:hAnsi="Arial"/>
          <w:sz w:val="18"/>
          <w:szCs w:val="18"/>
          <w:color w:val="000000"/>
        </w:rPr>
        <w:t>Pursuant to the leasing criteria, most of our leased</w:t>
      </w:r>
      <w:r>
        <w:rPr>
          <w:rFonts w:ascii="Arial" w:cs="Arial" w:eastAsia="Arial" w:hAnsi="Arial"/>
          <w:sz w:val="18"/>
          <w:szCs w:val="18"/>
          <w:color w:val="231F20"/>
        </w:rPr>
        <w:t xml:space="preserve"> </w:t>
      </w:r>
      <w:r>
        <w:rPr>
          <w:rFonts w:ascii="Arial" w:cs="Arial" w:eastAsia="Arial" w:hAnsi="Arial"/>
          <w:sz w:val="18"/>
          <w:szCs w:val="18"/>
          <w:color w:val="000000"/>
        </w:rPr>
        <w:t xml:space="preserve">space and equipment leases will be capitalized assets on the balance sheet with an offsetting financing obligation. In the statement of operations, what was formerly rent expense will be bifurcated into depreciation and interest expense. </w:t>
      </w:r>
      <w:r>
        <w:rPr>
          <w:rFonts w:ascii="Arial" w:cs="Arial" w:eastAsia="Arial" w:hAnsi="Arial"/>
          <w:sz w:val="18"/>
          <w:szCs w:val="18"/>
          <w:color w:val="231F20"/>
        </w:rPr>
        <w:t>The Company is currently evaluating the</w:t>
      </w:r>
      <w:r>
        <w:rPr>
          <w:rFonts w:ascii="Arial" w:cs="Arial" w:eastAsia="Arial" w:hAnsi="Arial"/>
          <w:sz w:val="18"/>
          <w:szCs w:val="18"/>
          <w:color w:val="000000"/>
        </w:rPr>
        <w:t xml:space="preserve"> </w:t>
      </w:r>
      <w:r>
        <w:rPr>
          <w:rFonts w:ascii="Arial" w:cs="Arial" w:eastAsia="Arial" w:hAnsi="Arial"/>
          <w:sz w:val="18"/>
          <w:szCs w:val="18"/>
          <w:color w:val="231F20"/>
        </w:rPr>
        <w:t>impact of the adoption of this update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23" w:lineRule="exact"/>
        <w:rPr>
          <w:sz w:val="20"/>
          <w:szCs w:val="20"/>
          <w:color w:val="auto"/>
        </w:rPr>
      </w:pPr>
    </w:p>
    <w:p>
      <w:pPr>
        <w:ind w:right="160" w:firstLine="392"/>
        <w:spacing w:after="0" w:line="258" w:lineRule="auto"/>
        <w:rPr>
          <w:sz w:val="20"/>
          <w:szCs w:val="20"/>
          <w:color w:val="auto"/>
        </w:rPr>
      </w:pPr>
      <w:r>
        <w:rPr>
          <w:rFonts w:ascii="Arial" w:cs="Arial" w:eastAsia="Arial" w:hAnsi="Arial"/>
          <w:sz w:val="18"/>
          <w:szCs w:val="18"/>
          <w:color w:val="231F20"/>
        </w:rPr>
        <w:t xml:space="preserve">In August 2016, the FASB issued ASU 2016-15, </w:t>
      </w:r>
      <w:r>
        <w:rPr>
          <w:rFonts w:ascii="Arial" w:cs="Arial" w:eastAsia="Arial" w:hAnsi="Arial"/>
          <w:sz w:val="18"/>
          <w:szCs w:val="18"/>
          <w:i w:val="1"/>
          <w:iCs w:val="1"/>
          <w:color w:val="231F20"/>
        </w:rPr>
        <w:t>Classification of Certain Cash Receipts and Cash Payments (a consensus of the</w:t>
      </w:r>
      <w:r>
        <w:rPr>
          <w:rFonts w:ascii="Arial" w:cs="Arial" w:eastAsia="Arial" w:hAnsi="Arial"/>
          <w:sz w:val="18"/>
          <w:szCs w:val="18"/>
          <w:color w:val="231F20"/>
        </w:rPr>
        <w:t xml:space="preserve"> </w:t>
      </w:r>
      <w:r>
        <w:rPr>
          <w:rFonts w:ascii="Arial" w:cs="Arial" w:eastAsia="Arial" w:hAnsi="Arial"/>
          <w:sz w:val="18"/>
          <w:szCs w:val="18"/>
          <w:i w:val="1"/>
          <w:iCs w:val="1"/>
          <w:color w:val="231F20"/>
        </w:rPr>
        <w:t>Emerging Issues Task Force)</w:t>
      </w:r>
      <w:r>
        <w:rPr>
          <w:rFonts w:ascii="Arial" w:cs="Arial" w:eastAsia="Arial" w:hAnsi="Arial"/>
          <w:sz w:val="18"/>
          <w:szCs w:val="18"/>
          <w:color w:val="231F20"/>
        </w:rPr>
        <w:t>, to provide guidance on the presentation of certain cash receipts and cash payments in the statement of cash</w:t>
      </w:r>
      <w:r>
        <w:rPr>
          <w:rFonts w:ascii="Arial" w:cs="Arial" w:eastAsia="Arial" w:hAnsi="Arial"/>
          <w:sz w:val="18"/>
          <w:szCs w:val="18"/>
          <w:i w:val="1"/>
          <w:iCs w:val="1"/>
          <w:color w:val="231F20"/>
        </w:rPr>
        <w:t xml:space="preserve"> </w:t>
      </w:r>
      <w:r>
        <w:rPr>
          <w:rFonts w:ascii="Arial" w:cs="Arial" w:eastAsia="Arial" w:hAnsi="Arial"/>
          <w:sz w:val="18"/>
          <w:szCs w:val="18"/>
          <w:color w:val="231F20"/>
        </w:rPr>
        <w:t>flows in order to reduce diversity in existing practice. The amendments in this ASU are effective for public business entities for fiscal years beginning after December 15, 2017, and interim periods within those fiscal years. Early adoption is permitted, including adoption in an interim period. The Company is currently evaluating the impact of the adoption of this update on its consolidated financial statements.</w:t>
      </w:r>
    </w:p>
    <w:p>
      <w:pPr>
        <w:spacing w:after="0" w:line="184"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231F20"/>
        </w:rPr>
        <w:t xml:space="preserve">In November 2016, the FASB issued ASU 2016-18, </w:t>
      </w:r>
      <w:r>
        <w:rPr>
          <w:rFonts w:ascii="Arial" w:cs="Arial" w:eastAsia="Arial" w:hAnsi="Arial"/>
          <w:sz w:val="18"/>
          <w:szCs w:val="18"/>
          <w:i w:val="1"/>
          <w:iCs w:val="1"/>
          <w:color w:val="231F20"/>
        </w:rPr>
        <w:t>Statement of Cash Flows (Topic 230): Restricted Cash</w:t>
      </w:r>
      <w:r>
        <w:rPr>
          <w:rFonts w:ascii="Arial" w:cs="Arial" w:eastAsia="Arial" w:hAnsi="Arial"/>
          <w:sz w:val="18"/>
          <w:szCs w:val="18"/>
          <w:color w:val="231F20"/>
        </w:rPr>
        <w:t>, which requires the statement of cash flows to explain the change during the period in the total of cash, cash equivalents and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guidance is effective for public business entities in fiscal years, and interim periods within those fiscal years, beginning after December 15, 2017. Early adoption is permitted. The Company is currently evaluating the impact this ASU will have on its consolidated financial statements.</w:t>
      </w:r>
    </w:p>
    <w:p>
      <w:pPr>
        <w:spacing w:after="0" w:line="183" w:lineRule="exact"/>
        <w:rPr>
          <w:sz w:val="20"/>
          <w:szCs w:val="20"/>
          <w:color w:val="auto"/>
        </w:rPr>
      </w:pPr>
    </w:p>
    <w:p>
      <w:pPr>
        <w:ind w:right="20" w:firstLine="405"/>
        <w:spacing w:after="0" w:line="258"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which revises the definition of a business and provides new guidance in evaluating when a set of transferred assets and activities is a business. This guidance will be effective for public business </w:t>
      </w:r>
      <w:r>
        <w:rPr>
          <w:rFonts w:ascii="Arial" w:cs="Arial" w:eastAsia="Arial" w:hAnsi="Arial"/>
          <w:sz w:val="18"/>
          <w:szCs w:val="18"/>
          <w:color w:val="231F20"/>
        </w:rPr>
        <w:t>entities in fiscal years, and interim periods within those fiscal years, beginning after December 15,</w:t>
      </w:r>
      <w:r>
        <w:rPr>
          <w:rFonts w:ascii="Arial" w:cs="Arial" w:eastAsia="Arial" w:hAnsi="Arial"/>
          <w:sz w:val="18"/>
          <w:szCs w:val="18"/>
          <w:color w:val="auto"/>
        </w:rPr>
        <w:t xml:space="preserve"> </w:t>
      </w:r>
      <w:r>
        <w:rPr>
          <w:rFonts w:ascii="Arial" w:cs="Arial" w:eastAsia="Arial" w:hAnsi="Arial"/>
          <w:sz w:val="18"/>
          <w:szCs w:val="18"/>
          <w:color w:val="231F20"/>
        </w:rPr>
        <w:t xml:space="preserve">2017 </w:t>
      </w:r>
      <w:r>
        <w:rPr>
          <w:rFonts w:ascii="Arial" w:cs="Arial" w:eastAsia="Arial" w:hAnsi="Arial"/>
          <w:sz w:val="18"/>
          <w:szCs w:val="18"/>
          <w:color w:val="000000"/>
        </w:rPr>
        <w:t>on a prospective basis. Early adoption is permitted. The Company does not expect the standard to have a material impact on our</w:t>
      </w:r>
      <w:r>
        <w:rPr>
          <w:rFonts w:ascii="Arial" w:cs="Arial" w:eastAsia="Arial" w:hAnsi="Arial"/>
          <w:sz w:val="18"/>
          <w:szCs w:val="18"/>
          <w:color w:val="231F20"/>
        </w:rPr>
        <w:t xml:space="preserve"> </w:t>
      </w:r>
      <w:r>
        <w:rPr>
          <w:rFonts w:ascii="Arial" w:cs="Arial" w:eastAsia="Arial" w:hAnsi="Arial"/>
          <w:sz w:val="18"/>
          <w:szCs w:val="18"/>
          <w:color w:val="000000"/>
        </w:rPr>
        <w:t>consolidated financial statements.</w:t>
      </w:r>
    </w:p>
    <w:p>
      <w:pPr>
        <w:spacing w:after="0" w:line="184" w:lineRule="exact"/>
        <w:rPr>
          <w:sz w:val="20"/>
          <w:szCs w:val="20"/>
          <w:color w:val="auto"/>
        </w:rPr>
      </w:pPr>
    </w:p>
    <w:p>
      <w:pPr>
        <w:ind w:right="40" w:firstLine="392"/>
        <w:spacing w:after="0" w:line="258" w:lineRule="auto"/>
        <w:rPr>
          <w:sz w:val="20"/>
          <w:szCs w:val="20"/>
          <w:color w:val="auto"/>
        </w:rPr>
      </w:pPr>
      <w:r>
        <w:rPr>
          <w:rFonts w:ascii="Arial" w:cs="Arial" w:eastAsia="Arial" w:hAnsi="Arial"/>
          <w:sz w:val="18"/>
          <w:szCs w:val="18"/>
          <w:color w:val="231F20"/>
        </w:rPr>
        <w:t xml:space="preserve">In January 2017, the FASB issued ASU 2017-04, </w:t>
      </w:r>
      <w:r>
        <w:rPr>
          <w:rFonts w:ascii="Arial" w:cs="Arial" w:eastAsia="Arial" w:hAnsi="Arial"/>
          <w:sz w:val="18"/>
          <w:szCs w:val="18"/>
          <w:i w:val="1"/>
          <w:iCs w:val="1"/>
          <w:color w:val="231F20"/>
        </w:rPr>
        <w:t>Simplifying the Test for Goodwill Impairment (Topic 350)</w:t>
      </w:r>
      <w:r>
        <w:rPr>
          <w:rFonts w:ascii="Arial" w:cs="Arial" w:eastAsia="Arial" w:hAnsi="Arial"/>
          <w:sz w:val="18"/>
          <w:szCs w:val="18"/>
          <w:color w:val="231F20"/>
        </w:rPr>
        <w:t>. This standard eliminates Step 2 from the goodwill impairment test, instead requiring an entity to recognize a goodwill impairment charge for the amount by which the goodwill carrying amount exceeds the reporting unit’s fair value. This guidance is effective for interim and annual goodwill impairment tests in fiscal years beginning after December 15, 2019 with early adoption permitted. This guidance must be applied on a prospective basis. The Company does not expect the adoption of this guidance to have a material impact on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right="6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1"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105,943</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105,943</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20,233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20,233</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4,396</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130,572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130,572</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3,245</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25,997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25,978</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119,242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119,067</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148,484</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148,290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3,472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3,471</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14,274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14,244</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27,298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27,288</w:t>
            </w:r>
          </w:p>
        </w:tc>
      </w:tr>
      <w:tr>
        <w:trPr>
          <w:trHeight w:val="25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45,044</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45,003</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324,100</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323,865</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5"/>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72,673</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72,673</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13,591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13,591</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86,737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86,737</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14,782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14,787</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13,490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13,479</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127,660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127,618</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157,167</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157,119</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5,093</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29,501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29,430</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11,243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11,202</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45,835</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45,725</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289,739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289,581</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948"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1" w:right="239" w:bottom="948"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231F20"/>
        </w:rPr>
        <w:t>The following table shows the changes to accumulated other comprehensive income (loss) for the six months ended June 30, 2017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Unrealized Gain</w:t>
            </w:r>
          </w:p>
        </w:tc>
      </w:tr>
      <w:tr>
        <w:trPr>
          <w:trHeight w:val="189"/>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(Loss), net on</w:t>
            </w:r>
          </w:p>
        </w:tc>
      </w:tr>
      <w:tr>
        <w:trPr>
          <w:trHeight w:val="224"/>
        </w:trPr>
        <w:tc>
          <w:tcPr>
            <w:tcW w:w="9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Investments</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33"/>
        </w:trPr>
        <w:tc>
          <w:tcPr>
            <w:tcW w:w="9720" w:type="dxa"/>
            <w:vAlign w:val="bottom"/>
          </w:tcPr>
          <w:p>
            <w:pPr>
              <w:ind w:left="280"/>
              <w:spacing w:after="0"/>
              <w:rPr>
                <w:sz w:val="20"/>
                <w:szCs w:val="20"/>
                <w:color w:val="auto"/>
              </w:rPr>
            </w:pPr>
            <w:r>
              <w:rPr>
                <w:rFonts w:ascii="Arial" w:cs="Arial" w:eastAsia="Arial" w:hAnsi="Arial"/>
                <w:sz w:val="16"/>
                <w:szCs w:val="16"/>
                <w:color w:val="auto"/>
              </w:rPr>
              <w:t>Change in net realized gain (loss) on investments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46"/>
        </w:trPr>
        <w:tc>
          <w:tcPr>
            <w:tcW w:w="9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for net realized gain (loss) included in net income</w:t>
            </w: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97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Other comprehensive income (loss), net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48"/>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at June 30,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 2017</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3,245</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137,709</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137,709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53,264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53,264</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3,471</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3,471</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197,689</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197,689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 2016</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157,048</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157,048</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or effective, maturity:</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June 30, 2017</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5"/>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Mature within One</w:t>
            </w:r>
          </w:p>
        </w:tc>
        <w:tc>
          <w:tcPr>
            <w:tcW w:w="120" w:type="dxa"/>
            <w:vAlign w:val="bottom"/>
          </w:tcPr>
          <w:p>
            <w:pPr>
              <w:spacing w:after="0"/>
              <w:rPr>
                <w:sz w:val="15"/>
                <w:szCs w:val="15"/>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After One Year through</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6"/>
        </w:trPr>
        <w:tc>
          <w:tcPr>
            <w:tcW w:w="4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Two Years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Over Two Years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3,245</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118,057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15,256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133,313</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53,264</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Asset-backed securities</w:t>
            </w:r>
          </w:p>
        </w:tc>
        <w:tc>
          <w:tcPr>
            <w:tcW w:w="1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2,622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3,472</w:t>
            </w:r>
          </w:p>
        </w:tc>
      </w:tr>
      <w:tr>
        <w:trPr>
          <w:trHeight w:val="243"/>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149,902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193,294</w:t>
            </w: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222222"/>
        </w:rPr>
        <w:t>At June 30, 2017, the Company had two outstanding forward contrac</w:t>
      </w:r>
      <w:r>
        <w:rPr>
          <w:rFonts w:ascii="Arial" w:cs="Arial" w:eastAsia="Arial" w:hAnsi="Arial"/>
          <w:sz w:val="18"/>
          <w:szCs w:val="18"/>
          <w:color w:val="000000"/>
        </w:rPr>
        <w:t>ts with notional amounts of 7 million Euros and 4.8 million British</w:t>
      </w:r>
      <w:r>
        <w:rPr>
          <w:rFonts w:ascii="Arial" w:cs="Arial" w:eastAsia="Arial" w:hAnsi="Arial"/>
          <w:sz w:val="18"/>
          <w:szCs w:val="18"/>
          <w:color w:val="222222"/>
        </w:rPr>
        <w:t xml:space="preserve"> </w:t>
      </w:r>
      <w:r>
        <w:rPr>
          <w:rFonts w:ascii="Arial" w:cs="Arial" w:eastAsia="Arial" w:hAnsi="Arial"/>
          <w:sz w:val="18"/>
          <w:szCs w:val="18"/>
          <w:color w:val="000000"/>
        </w:rPr>
        <w:t xml:space="preserve">Pounds, which expire on July 31, 2017. </w:t>
      </w:r>
      <w:r>
        <w:rPr>
          <w:rFonts w:ascii="Arial" w:cs="Arial" w:eastAsia="Arial" w:hAnsi="Arial"/>
          <w:sz w:val="18"/>
          <w:szCs w:val="18"/>
          <w:color w:val="222222"/>
        </w:rPr>
        <w:t>At December 31, 2016, the Company had two outstanding forward contracts with notional amounts of</w:t>
      </w:r>
      <w:r>
        <w:rPr>
          <w:rFonts w:ascii="Arial" w:cs="Arial" w:eastAsia="Arial" w:hAnsi="Arial"/>
          <w:sz w:val="18"/>
          <w:szCs w:val="18"/>
          <w:color w:val="000000"/>
        </w:rPr>
        <w:t xml:space="preserve"> </w:t>
      </w:r>
      <w:r>
        <w:rPr>
          <w:rFonts w:ascii="Arial" w:cs="Arial" w:eastAsia="Arial" w:hAnsi="Arial"/>
          <w:sz w:val="18"/>
          <w:szCs w:val="18"/>
          <w:color w:val="222222"/>
        </w:rPr>
        <w:t xml:space="preserve">7.6 million Euros and 4.6 million British Pounds, which expired on February 2, 2017. These </w:t>
      </w:r>
      <w:r>
        <w:rPr>
          <w:rFonts w:ascii="Arial" w:cs="Arial" w:eastAsia="Arial" w:hAnsi="Arial"/>
          <w:sz w:val="18"/>
          <w:szCs w:val="18"/>
          <w:color w:val="231F20"/>
        </w:rPr>
        <w:t>forward contracts were entered into at the end of</w:t>
      </w:r>
      <w:r>
        <w:rPr>
          <w:rFonts w:ascii="Arial" w:cs="Arial" w:eastAsia="Arial" w:hAnsi="Arial"/>
          <w:sz w:val="18"/>
          <w:szCs w:val="18"/>
          <w:color w:val="222222"/>
        </w:rPr>
        <w:t xml:space="preserve"> </w:t>
      </w:r>
      <w:r>
        <w:rPr>
          <w:rFonts w:ascii="Arial" w:cs="Arial" w:eastAsia="Arial" w:hAnsi="Arial"/>
          <w:sz w:val="18"/>
          <w:szCs w:val="18"/>
          <w:color w:val="231F20"/>
        </w:rPr>
        <w:t xml:space="preserve">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June 30, 2017</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2016</w:t>
      </w:r>
      <w:r>
        <w:rPr>
          <w:rFonts w:ascii="Arial" w:cs="Arial" w:eastAsia="Arial" w:hAnsi="Arial"/>
          <w:sz w:val="18"/>
          <w:szCs w:val="18"/>
          <w:color w:val="222222"/>
        </w:rPr>
        <w:t>.</w:t>
      </w:r>
      <w:r>
        <w:rPr>
          <w:rFonts w:ascii="Arial" w:cs="Arial" w:eastAsia="Arial" w:hAnsi="Arial"/>
          <w:sz w:val="18"/>
          <w:szCs w:val="18"/>
          <w:color w:val="231F20"/>
        </w:rPr>
        <w:t xml:space="preserve"> These derivatives did not meet the criteria to be designated as hedges. These instruments were valued using Level 2 inputs.</w:t>
      </w:r>
    </w:p>
    <w:p>
      <w:pPr>
        <w:spacing w:after="0" w:line="206"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231F20"/>
        </w:rPr>
        <w:t>The following summarizes the gains (losses) recognized in Other expense, net on the condensed consolidated statement of operations, from forward contracts and other foreign currency transactions: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5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6"/>
                <w:szCs w:val="16"/>
                <w:color w:val="auto"/>
              </w:rPr>
            </w:pPr>
          </w:p>
        </w:tc>
      </w:tr>
      <w:tr>
        <w:trPr>
          <w:trHeight w:val="276"/>
        </w:trPr>
        <w:tc>
          <w:tcPr>
            <w:tcW w:w="52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50"/>
        </w:trPr>
        <w:tc>
          <w:tcPr>
            <w:tcW w:w="5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2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forward contracts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(1,122)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foreign currency transactions gain</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(721)</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foreign exchange gain (loss), net</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0"/>
        </w:trPr>
        <w:tc>
          <w:tcPr>
            <w:tcW w:w="5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consists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1"/>
        </w:trPr>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right"/>
              <w:ind w:right="959"/>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65,579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57,295</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19,716</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3,425</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2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14,434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14,776</w:t>
            </w:r>
          </w:p>
        </w:tc>
      </w:tr>
      <w:tr>
        <w:trPr>
          <w:trHeight w:val="27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7,298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3,694</w:t>
            </w:r>
          </w:p>
        </w:tc>
      </w:tr>
      <w:tr>
        <w:trPr>
          <w:trHeight w:val="247"/>
        </w:trPr>
        <w:tc>
          <w:tcPr>
            <w:tcW w:w="832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8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111,384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98,906</w:t>
            </w:r>
          </w:p>
        </w:tc>
      </w:tr>
      <w:tr>
        <w:trPr>
          <w:trHeight w:val="27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(59,505)</w:t>
            </w:r>
          </w:p>
        </w:tc>
      </w:tr>
      <w:tr>
        <w:trPr>
          <w:trHeight w:val="240"/>
        </w:trPr>
        <w:tc>
          <w:tcPr>
            <w:tcW w:w="832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42,768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39,401</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had a net carrying value of $ 7.8 million and $ 8.3 million at </w:t>
      </w:r>
      <w:r>
        <w:rPr>
          <w:rFonts w:ascii="Arial" w:cs="Arial" w:eastAsia="Arial" w:hAnsi="Arial"/>
          <w:sz w:val="18"/>
          <w:szCs w:val="18"/>
          <w:color w:val="000000"/>
        </w:rPr>
        <w:t>June 30, 2017</w:t>
      </w:r>
      <w:r>
        <w:rPr>
          <w:rFonts w:ascii="Arial" w:cs="Arial" w:eastAsia="Arial" w:hAnsi="Arial"/>
          <w:sz w:val="18"/>
          <w:szCs w:val="18"/>
          <w:color w:val="231F20"/>
        </w:rPr>
        <w:t xml:space="preserve"> and December 31, 2016, respectively, including assets that have not been placed in service of $0.6 million and $1.3 million, respectively. Depreciation and amortization expense relating to property and equipment was $ 4.9 million and $3.9 million for the </w:t>
      </w:r>
      <w:r>
        <w:rPr>
          <w:rFonts w:ascii="Arial" w:cs="Arial" w:eastAsia="Arial" w:hAnsi="Arial"/>
          <w:sz w:val="18"/>
          <w:szCs w:val="18"/>
          <w:color w:val="000000"/>
        </w:rPr>
        <w:t>three months ended June 30, 2017</w:t>
      </w:r>
      <w:r>
        <w:rPr>
          <w:rFonts w:ascii="Arial" w:cs="Arial" w:eastAsia="Arial" w:hAnsi="Arial"/>
          <w:sz w:val="18"/>
          <w:szCs w:val="18"/>
          <w:color w:val="231F20"/>
        </w:rPr>
        <w:t xml:space="preserve"> and 2016, respectively, and $9.6 million and $7.6 million for the six months ended June 30, 2017 and 2016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231F20"/>
        </w:rPr>
        <w:t>Intangible assets consist primarily of existing technology and a patent license acquired in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Arial" w:cs="Arial" w:eastAsia="Arial" w:hAnsi="Arial"/>
                <w:sz w:val="14"/>
                <w:szCs w:val="14"/>
                <w:b w:val="1"/>
                <w:bCs w:val="1"/>
                <w:color w:val="auto"/>
              </w:rPr>
              <w:t>Net Book</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80" w:type="dxa"/>
            <w:vAlign w:val="bottom"/>
          </w:tcPr>
          <w:p>
            <w:pPr>
              <w:jc w:val="right"/>
              <w:ind w:right="122"/>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 years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w:t>
            </w:r>
          </w:p>
        </w:tc>
        <w:tc>
          <w:tcPr>
            <w:tcW w:w="11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14 years</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40"/>
        </w:trPr>
        <w:tc>
          <w:tcPr>
            <w:tcW w:w="40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22"/>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42"/>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000" w:type="dxa"/>
            <w:vAlign w:val="bottom"/>
            <w:tcBorders>
              <w:bottom w:val="single" w:sz="8" w:color="CCEEFF"/>
            </w:tcBorders>
            <w:vMerge w:val="continue"/>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231F20"/>
        </w:rPr>
        <w:t xml:space="preserve">Intangibles amortization expense was $0.1 million for each of the </w:t>
      </w:r>
      <w:r>
        <w:rPr>
          <w:rFonts w:ascii="Arial" w:cs="Arial" w:eastAsia="Arial" w:hAnsi="Arial"/>
          <w:sz w:val="18"/>
          <w:szCs w:val="18"/>
          <w:color w:val="000000"/>
        </w:rPr>
        <w:t>three months ended June 30, 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xml:space="preserve"> and $0.2 million for each of the six months ended June 30, 2017 and 2016.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bl>
      <w:tblPr>
        <w:tblLayout w:type="fixed"/>
        <w:tblInd w:w="0" w:type="dxa"/>
        <w:tblCellMar>
          <w:top w:w="0" w:type="dxa"/>
          <w:left w:w="0" w:type="dxa"/>
          <w:bottom w:w="0" w:type="dxa"/>
          <w:right w:w="0" w:type="dxa"/>
        </w:tblCellMar>
      </w:tblPr>
      <w:tr>
        <w:trPr>
          <w:trHeight w:val="200"/>
        </w:trPr>
        <w:tc>
          <w:tcPr>
            <w:tcW w:w="1260" w:type="dxa"/>
            <w:vAlign w:val="bottom"/>
            <w:tcBorders>
              <w:top w:val="single" w:sz="8" w:color="0000EE"/>
            </w:tcBorders>
          </w:tcPr>
          <w:p>
            <w:pPr>
              <w:spacing w:after="0"/>
              <w:rPr>
                <w:sz w:val="17"/>
                <w:szCs w:val="17"/>
                <w:color w:val="auto"/>
              </w:rPr>
            </w:pPr>
          </w:p>
        </w:tc>
        <w:tc>
          <w:tcPr>
            <w:tcW w:w="8680" w:type="dxa"/>
            <w:vAlign w:val="bottom"/>
          </w:tcPr>
          <w:p>
            <w:pPr>
              <w:jc w:val="center"/>
              <w:ind w:left="130"/>
              <w:spacing w:after="0" w:line="201" w:lineRule="exact"/>
              <w:rPr>
                <w:sz w:val="20"/>
                <w:szCs w:val="20"/>
                <w:color w:val="auto"/>
              </w:rPr>
            </w:pPr>
            <w:r>
              <w:rPr>
                <w:rFonts w:ascii="Arial" w:cs="Arial" w:eastAsia="Arial" w:hAnsi="Arial"/>
                <w:sz w:val="18"/>
                <w:szCs w:val="18"/>
                <w:b w:val="1"/>
                <w:bCs w:val="1"/>
                <w:color w:val="231F20"/>
              </w:rPr>
              <w:t>Qualys, Inc.</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w w:val="99"/>
              </w:rPr>
              <w:t>NOTES TO CONDENSED CONSOLIDATED FINANCIAL STATEMENTS (Continued)</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9"/>
        </w:trPr>
        <w:tc>
          <w:tcPr>
            <w:tcW w:w="1260" w:type="dxa"/>
            <w:vAlign w:val="bottom"/>
          </w:tcPr>
          <w:p>
            <w:pPr>
              <w:spacing w:after="0"/>
              <w:rPr>
                <w:sz w:val="20"/>
                <w:szCs w:val="20"/>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648"/>
        </w:trPr>
        <w:tc>
          <w:tcPr>
            <w:tcW w:w="9940" w:type="dxa"/>
            <w:vAlign w:val="bottom"/>
            <w:gridSpan w:val="2"/>
          </w:tcPr>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2017</w:t>
            </w:r>
            <w:r>
              <w:rPr>
                <w:rFonts w:ascii="Arial" w:cs="Arial" w:eastAsia="Arial" w:hAnsi="Arial"/>
                <w:sz w:val="18"/>
                <w:szCs w:val="18"/>
                <w:color w:val="231F20"/>
              </w:rPr>
              <w:t>, the Company expects amortization expense in future periods to be as follows (in thousands):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1"/>
        </w:trPr>
        <w:tc>
          <w:tcPr>
            <w:tcW w:w="126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Remainder of 2017</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33"/>
        </w:trPr>
        <w:tc>
          <w:tcPr>
            <w:tcW w:w="1260" w:type="dxa"/>
            <w:vAlign w:val="bottom"/>
          </w:tcPr>
          <w:p>
            <w:pPr>
              <w:ind w:left="40"/>
              <w:spacing w:after="0"/>
              <w:rPr>
                <w:sz w:val="20"/>
                <w:szCs w:val="20"/>
                <w:color w:val="auto"/>
              </w:rPr>
            </w:pPr>
            <w:r>
              <w:rPr>
                <w:rFonts w:ascii="Arial" w:cs="Arial" w:eastAsia="Arial" w:hAnsi="Arial"/>
                <w:sz w:val="16"/>
                <w:szCs w:val="16"/>
                <w:color w:val="auto"/>
              </w:rPr>
              <w:t>2018</w:t>
            </w:r>
          </w:p>
        </w:tc>
        <w:tc>
          <w:tcPr>
            <w:tcW w:w="8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86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3"/>
        </w:trPr>
        <w:tc>
          <w:tcPr>
            <w:tcW w:w="1260" w:type="dxa"/>
            <w:vAlign w:val="bottom"/>
          </w:tcPr>
          <w:p>
            <w:pPr>
              <w:ind w:left="40"/>
              <w:spacing w:after="0"/>
              <w:rPr>
                <w:sz w:val="20"/>
                <w:szCs w:val="20"/>
                <w:color w:val="auto"/>
              </w:rPr>
            </w:pPr>
            <w:r>
              <w:rPr>
                <w:rFonts w:ascii="Arial" w:cs="Arial" w:eastAsia="Arial" w:hAnsi="Arial"/>
                <w:sz w:val="16"/>
                <w:szCs w:val="16"/>
                <w:color w:val="auto"/>
              </w:rPr>
              <w:t>2020</w:t>
            </w:r>
          </w:p>
        </w:tc>
        <w:tc>
          <w:tcPr>
            <w:tcW w:w="8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86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2022 and thereafter</w:t>
            </w: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w:t>
            </w:r>
          </w:p>
        </w:tc>
      </w:tr>
      <w:tr>
        <w:trPr>
          <w:trHeight w:val="240"/>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20"/>
        </w:trPr>
        <w:tc>
          <w:tcPr>
            <w:tcW w:w="12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June 30, 2017</w:t>
      </w:r>
      <w:r>
        <w:rPr>
          <w:rFonts w:ascii="Arial" w:cs="Arial" w:eastAsia="Arial" w:hAnsi="Arial"/>
          <w:sz w:val="18"/>
          <w:szCs w:val="18"/>
          <w:color w:val="231F20"/>
        </w:rPr>
        <w:t xml:space="preserve"> and December 31, 2016.</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247"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June 30, 2017</w:t>
      </w:r>
      <w:r>
        <w:rPr>
          <w:rFonts w:ascii="Arial" w:cs="Arial" w:eastAsia="Arial" w:hAnsi="Arial"/>
          <w:sz w:val="18"/>
          <w:szCs w:val="18"/>
          <w:color w:val="231F20"/>
        </w:rPr>
        <w:t xml:space="preserve">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2017</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2,410</w:t>
            </w:r>
          </w:p>
        </w:tc>
      </w:tr>
      <w:tr>
        <w:trPr>
          <w:trHeight w:val="233"/>
        </w:trPr>
        <w:tc>
          <w:tcPr>
            <w:tcW w:w="9480" w:type="dxa"/>
            <w:vAlign w:val="bottom"/>
          </w:tcPr>
          <w:p>
            <w:pPr>
              <w:ind w:left="40"/>
              <w:spacing w:after="0"/>
              <w:rPr>
                <w:sz w:val="20"/>
                <w:szCs w:val="20"/>
                <w:color w:val="auto"/>
              </w:rPr>
            </w:pPr>
            <w:r>
              <w:rPr>
                <w:rFonts w:ascii="Arial" w:cs="Arial" w:eastAsia="Arial" w:hAnsi="Arial"/>
                <w:sz w:val="16"/>
                <w:szCs w:val="16"/>
                <w:color w:val="auto"/>
              </w:rPr>
              <w:t>2018</w:t>
            </w:r>
          </w:p>
        </w:tc>
        <w:tc>
          <w:tcPr>
            <w:tcW w:w="4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5,902</w:t>
            </w:r>
          </w:p>
        </w:tc>
      </w:tr>
      <w:tr>
        <w:trPr>
          <w:trHeight w:val="25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5,199</w:t>
            </w:r>
          </w:p>
        </w:tc>
      </w:tr>
      <w:tr>
        <w:trPr>
          <w:trHeight w:val="233"/>
        </w:trPr>
        <w:tc>
          <w:tcPr>
            <w:tcW w:w="9480" w:type="dxa"/>
            <w:vAlign w:val="bottom"/>
          </w:tcPr>
          <w:p>
            <w:pPr>
              <w:ind w:left="40"/>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4,874</w:t>
            </w:r>
          </w:p>
        </w:tc>
      </w:tr>
      <w:tr>
        <w:trPr>
          <w:trHeight w:val="25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4,646</w:t>
            </w:r>
          </w:p>
        </w:tc>
      </w:tr>
      <w:tr>
        <w:trPr>
          <w:trHeight w:val="23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2022 and thereafter</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26,133</w:t>
            </w:r>
          </w:p>
        </w:tc>
      </w:tr>
      <w:tr>
        <w:trPr>
          <w:trHeight w:val="24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49,164</w:t>
            </w:r>
          </w:p>
        </w:tc>
      </w:tr>
      <w:tr>
        <w:trPr>
          <w:trHeight w:val="20"/>
        </w:trPr>
        <w:tc>
          <w:tcPr>
            <w:tcW w:w="9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Rent expense was $2.4 million and $1.8 million for the </w:t>
      </w:r>
      <w:r>
        <w:rPr>
          <w:rFonts w:ascii="Arial" w:cs="Arial" w:eastAsia="Arial" w:hAnsi="Arial"/>
          <w:sz w:val="18"/>
          <w:szCs w:val="18"/>
          <w:color w:val="000000"/>
        </w:rPr>
        <w:t>three months ended June 30, 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respectively, and $4.3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$3.5 million for the six months ended June 30, 2017 and </w:t>
      </w:r>
      <w:r>
        <w:rPr>
          <w:rFonts w:ascii="Arial" w:cs="Arial" w:eastAsia="Arial" w:hAnsi="Arial"/>
          <w:sz w:val="18"/>
          <w:szCs w:val="18"/>
          <w:color w:val="000000"/>
        </w:rPr>
        <w:t>2016</w:t>
      </w:r>
      <w:r>
        <w:rPr>
          <w:rFonts w:ascii="Arial" w:cs="Arial" w:eastAsia="Arial" w:hAnsi="Arial"/>
          <w:sz w:val="18"/>
          <w:szCs w:val="18"/>
          <w:color w:val="231F20"/>
        </w:rPr>
        <w:t>, respectively. Although certain of the operating lease agreements provide for 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free periods or escalating rent payments over the terms of the leases, rent expense under these agreements is recognized on a straight-line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basis over the term of the lease, starting when the Company takes possession of the property from the landlord. We record t</w:t>
      </w:r>
      <w:r>
        <w:rPr>
          <w:rFonts w:ascii="Arial" w:cs="Arial" w:eastAsia="Arial" w:hAnsi="Arial"/>
          <w:sz w:val="18"/>
          <w:szCs w:val="18"/>
          <w:color w:val="000000"/>
        </w:rPr>
        <w:t>he difference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between the recognized rent expense and the amounts payable under the lease as a short-term or long-term deferred rent liability. When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receive tenant allowances upon entering into certain leases, we record the allowances as short-term or long-term tenant allowance liability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amortize them using the straight-line method as a reduction to rent expense over the term of the lease.</w:t>
      </w:r>
    </w:p>
    <w:p>
      <w:pPr>
        <w:spacing w:after="0" w:line="185" w:lineRule="exact"/>
        <w:rPr>
          <w:sz w:val="20"/>
          <w:szCs w:val="20"/>
          <w:color w:val="auto"/>
        </w:rPr>
      </w:pPr>
    </w:p>
    <w:p>
      <w:pPr>
        <w:ind w:right="500" w:firstLine="486"/>
        <w:spacing w:after="0" w:line="256"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2017</w:t>
      </w:r>
      <w:r>
        <w:rPr>
          <w:rFonts w:ascii="Arial" w:cs="Arial" w:eastAsia="Arial" w:hAnsi="Arial"/>
          <w:sz w:val="18"/>
          <w:szCs w:val="18"/>
          <w:color w:val="231F20"/>
        </w:rPr>
        <w:t xml:space="preserve"> and </w:t>
      </w:r>
      <w:r>
        <w:rPr>
          <w:rFonts w:ascii="Arial" w:cs="Arial" w:eastAsia="Arial" w:hAnsi="Arial"/>
          <w:sz w:val="18"/>
          <w:szCs w:val="18"/>
          <w:color w:val="000000"/>
        </w:rPr>
        <w:t>December 31, 2016</w:t>
      </w:r>
      <w:r>
        <w:rPr>
          <w:rFonts w:ascii="Arial" w:cs="Arial" w:eastAsia="Arial" w:hAnsi="Arial"/>
          <w:sz w:val="18"/>
          <w:szCs w:val="18"/>
          <w:color w:val="231F20"/>
        </w:rPr>
        <w:t>, the Company had accrued $8.1 million and $0.4 million, respectively, of deferred rent related to these agreements, which is reflected in accrued liabilities and other non-current liabilities in the accompanying condensed consolidated balance sheets.</w:t>
      </w:r>
    </w:p>
    <w:p>
      <w:pPr>
        <w:spacing w:after="0" w:line="202"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On October 14, 2016, the Company entered into a lease agreement (included in the table above) for its new headquarter office facility. The lease payments commence on May 1, 2018 and has a ten-year term through April 30, 2028. The total commitment of $38.6 million is payable monthly with escalating rental payments throughout the lease term. The Company took possession of the facility on May 1, 2017 and began construction of certain leasehold improvements. The Company recorded a tenant improvement allowance of $8.1 million.</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June 30, 2017</w:t>
      </w:r>
      <w:r>
        <w:rPr>
          <w:rFonts w:ascii="Arial" w:cs="Arial" w:eastAsia="Arial" w:hAnsi="Arial"/>
          <w:sz w:val="18"/>
          <w:szCs w:val="18"/>
          <w:color w:val="231F20"/>
        </w:rPr>
        <w:t>, the Company has not recorded any material liabilities in accordance with accounting for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9,861,234 shares of common stock. Options may be granted with an exercise price that is at least equal to the fair market value of the Company's stock at the date of grant and are exercisable when vested. As of June 30, 2017, </w:t>
      </w:r>
      <w:r>
        <w:rPr>
          <w:rFonts w:ascii="Arial" w:cs="Arial" w:eastAsia="Arial" w:hAnsi="Arial"/>
          <w:sz w:val="18"/>
          <w:szCs w:val="18"/>
          <w:color w:val="000000"/>
        </w:rPr>
        <w:t>2,459,834</w:t>
      </w:r>
      <w:r>
        <w:rPr>
          <w:rFonts w:ascii="Arial" w:cs="Arial" w:eastAsia="Arial" w:hAnsi="Arial"/>
          <w:sz w:val="18"/>
          <w:szCs w:val="18"/>
          <w:color w:val="231F20"/>
        </w:rPr>
        <w:t xml:space="preserve"> shares were available for grant under the 2012 Plan.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operations for the three and six months ended June 30,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2,788</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2,638</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3,791</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6,447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5,322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10,779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2017</w:t>
      </w:r>
      <w:r>
        <w:rPr>
          <w:rFonts w:ascii="Arial" w:cs="Arial" w:eastAsia="Arial" w:hAnsi="Arial"/>
          <w:sz w:val="18"/>
          <w:szCs w:val="18"/>
          <w:color w:val="231F20"/>
        </w:rPr>
        <w:t xml:space="preserve">, the Company had $20.1 million of total unrecognized compensation cost related to unvested option awards that it expects to recognize over a weighted-average period of 2.6 years , and $33.8 million </w:t>
      </w:r>
      <w:r>
        <w:rPr>
          <w:rFonts w:ascii="Arial" w:cs="Arial" w:eastAsia="Arial" w:hAnsi="Arial"/>
          <w:sz w:val="18"/>
          <w:szCs w:val="18"/>
          <w:color w:val="000000"/>
        </w:rPr>
        <w:t>of unrecognized compensation cost related to unvested</w:t>
      </w:r>
      <w:r>
        <w:rPr>
          <w:rFonts w:ascii="Arial" w:cs="Arial" w:eastAsia="Arial" w:hAnsi="Arial"/>
          <w:sz w:val="18"/>
          <w:szCs w:val="18"/>
          <w:color w:val="231F20"/>
        </w:rPr>
        <w:t xml:space="preserve"> </w:t>
      </w:r>
      <w:r>
        <w:rPr>
          <w:rFonts w:ascii="Arial" w:cs="Arial" w:eastAsia="Arial" w:hAnsi="Arial"/>
          <w:sz w:val="18"/>
          <w:szCs w:val="18"/>
          <w:color w:val="000000"/>
        </w:rPr>
        <w:t xml:space="preserve">RSUs that it expects to recognize over a weighted-average period of 2.8 years. </w:t>
      </w:r>
      <w:r>
        <w:rPr>
          <w:rFonts w:ascii="Arial" w:cs="Arial" w:eastAsia="Arial" w:hAnsi="Arial"/>
          <w:sz w:val="18"/>
          <w:szCs w:val="18"/>
          <w:color w:val="231F20"/>
        </w:rPr>
        <w:t>Compensation cost is recognized on a straight-line basis over</w:t>
      </w:r>
      <w:r>
        <w:rPr>
          <w:rFonts w:ascii="Arial" w:cs="Arial" w:eastAsia="Arial" w:hAnsi="Arial"/>
          <w:sz w:val="18"/>
          <w:szCs w:val="18"/>
          <w:color w:val="000000"/>
        </w:rPr>
        <w:t xml:space="preserve"> </w:t>
      </w:r>
      <w:r>
        <w:rPr>
          <w:rFonts w:ascii="Arial" w:cs="Arial" w:eastAsia="Arial" w:hAnsi="Arial"/>
          <w:sz w:val="18"/>
          <w:szCs w:val="18"/>
          <w:color w:val="231F20"/>
        </w:rPr>
        <w:t>the service period. Forfeitures are estimated at the time of grant and revised, if necessary, in subsequent periods if actual forfeitures differ from those estimates.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228"/>
        </w:trPr>
        <w:tc>
          <w:tcPr>
            <w:tcW w:w="5260" w:type="dxa"/>
            <w:vAlign w:val="bottom"/>
          </w:tcPr>
          <w:p>
            <w:pPr>
              <w:spacing w:after="0"/>
              <w:rPr>
                <w:sz w:val="19"/>
                <w:szCs w:val="19"/>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Intrinsic Value</w:t>
            </w:r>
          </w:p>
        </w:tc>
      </w:tr>
      <w:tr>
        <w:trPr>
          <w:trHeight w:val="260"/>
        </w:trPr>
        <w:tc>
          <w:tcPr>
            <w:tcW w:w="52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7,527,680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101,717</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249,950</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37.78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(2,036,841)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(219,681)</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34.53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2017</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5,521,108</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96,133</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Vested and expected to vest - June 30, 2017</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5,160,376</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92,715</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June 30, 2017</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3,599,569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75,806</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and RSA activity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7900" w:type="dxa"/>
            <w:vAlign w:val="bottom"/>
          </w:tcPr>
          <w:p>
            <w:pPr>
              <w:spacing w:after="0"/>
              <w:rPr>
                <w:sz w:val="16"/>
                <w:szCs w:val="16"/>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auto"/>
              </w:rPr>
              <w:t>Outstanding RSUs</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Grant Date Fair Value</w:t>
            </w:r>
          </w:p>
        </w:tc>
      </w:tr>
      <w:tr>
        <w:trPr>
          <w:trHeight w:val="228"/>
        </w:trPr>
        <w:tc>
          <w:tcPr>
            <w:tcW w:w="7900" w:type="dxa"/>
            <w:vAlign w:val="bottom"/>
          </w:tcPr>
          <w:p>
            <w:pPr>
              <w:spacing w:after="0"/>
              <w:rPr>
                <w:sz w:val="19"/>
                <w:szCs w:val="19"/>
                <w:color w:val="auto"/>
              </w:rPr>
            </w:pP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and RSAs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Per Share</w:t>
            </w:r>
          </w:p>
        </w:tc>
      </w:tr>
      <w:tr>
        <w:trPr>
          <w:trHeight w:val="284"/>
        </w:trPr>
        <w:tc>
          <w:tcPr>
            <w:tcW w:w="7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587,333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28.85</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828,958</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38.32</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Released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(112,065)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28.24</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(73,411)</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31.27</w:t>
            </w: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2017</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1,230,815</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36.14</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7"/>
        </w:trPr>
        <w:tc>
          <w:tcPr>
            <w:tcW w:w="7900" w:type="dxa"/>
            <w:vAlign w:val="bottom"/>
          </w:tcPr>
          <w:p>
            <w:pPr>
              <w:ind w:left="40"/>
              <w:spacing w:after="0"/>
              <w:rPr>
                <w:sz w:val="20"/>
                <w:szCs w:val="20"/>
                <w:color w:val="auto"/>
              </w:rPr>
            </w:pPr>
            <w:r>
              <w:rPr>
                <w:rFonts w:ascii="Arial" w:cs="Arial" w:eastAsia="Arial" w:hAnsi="Arial"/>
                <w:sz w:val="16"/>
                <w:szCs w:val="16"/>
                <w:color w:val="auto"/>
              </w:rPr>
              <w:t>Outstanding and expected to vest - June 30, 2017</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1,058,449</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35.18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 (loss)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4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0"/>
        </w:trPr>
        <w:tc>
          <w:tcPr>
            <w:tcW w:w="5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47"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The Company recorded a tax provision of $2.2 million for each of the three months ended June 30, 2017 and 2016. The Company's effective income tax rate was approximately 23.1% and 38.5% for the three months ended June 30, 2017 and 2016, respectively.</w:t>
      </w:r>
    </w:p>
    <w:p>
      <w:pPr>
        <w:spacing w:after="0" w:line="196"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Company recorded a tax benefit of $(11.7) million and a tax provision of $5.2 million for the six months ended June 30, 2017 and 2016, respectively. The Company's effective income tax rate was approximately (66.7) % and 38.4 % for the six months ended June 30, 2017 and 2016, respectively.</w:t>
      </w:r>
    </w:p>
    <w:p>
      <w:pPr>
        <w:spacing w:after="0" w:line="20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tax provision for the three months ended June 30, 2017 compared to the three months ended June 30, 2016 was relatively flat. While the Company had higher taxable income in the three months ended June 30, 2017 we also had a greater amount of excess tax benefits related to stock based compensation to offset our tax provision expense. The impact of the higher taxable income offset by excess tax benefits was a lowered effective tax rate for the three months ended June 30, 2017 compared to the three months ended June 30, 2016.</w:t>
      </w:r>
    </w:p>
    <w:p>
      <w:pPr>
        <w:spacing w:after="0" w:line="204"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 xml:space="preserve">The decrease in the tax provision for the six months ended June 30, 2017 compared to the six months ended June 30, 2016 and the decrease in the effective tax rate recorded for the three and six months ended June 30, 2017 was primarily due </w:t>
      </w:r>
      <w:r>
        <w:rPr>
          <w:rFonts w:ascii="Arial" w:cs="Arial" w:eastAsia="Arial" w:hAnsi="Arial"/>
          <w:sz w:val="18"/>
          <w:szCs w:val="18"/>
          <w:color w:val="231F20"/>
        </w:rPr>
        <w:t>to the discrete event of</w:t>
      </w:r>
      <w:r>
        <w:rPr>
          <w:rFonts w:ascii="Arial" w:cs="Arial" w:eastAsia="Arial" w:hAnsi="Arial"/>
          <w:sz w:val="18"/>
          <w:szCs w:val="18"/>
          <w:color w:val="auto"/>
        </w:rPr>
        <w:t xml:space="preserve"> </w:t>
      </w:r>
      <w:r>
        <w:rPr>
          <w:rFonts w:ascii="Arial" w:cs="Arial" w:eastAsia="Arial" w:hAnsi="Arial"/>
          <w:sz w:val="18"/>
          <w:szCs w:val="18"/>
          <w:color w:val="231F20"/>
        </w:rPr>
        <w:t>recognizing the excess tax benefits related to stock based compensation as required by ASU 2016-09</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The Company adopted ASU 2016-09 as required on January 1, 2017. In following ASU 2016-09 the Company recognized a discrete tax benefit from excess tax benefits related to stock based compensation of $ 16.8 million for the three months ended March 31, 2017 and $ 18.2 million for the six months ended June 30, 2017. The standard will result in increased volatility in the Company's effective tax rate. In the first quarter ended March 31, 2017, the Company recorded a cumulative effect adjustment to increase retained earnings by $8.4 million with corresponding increase to deferred tax assets for the Federal and state net operating losses attributable to excess tax benefits from stock based compensation which had not been previously recognized as of January 1, 2017.</w:t>
      </w:r>
    </w:p>
    <w:p>
      <w:pPr>
        <w:spacing w:after="0" w:line="209"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231F20"/>
        </w:rPr>
        <w:t xml:space="preserve">As of June 30, 2017, the Company had unrecognized tax benefits of </w:t>
      </w:r>
      <w:r>
        <w:rPr>
          <w:rFonts w:ascii="Arial" w:cs="Arial" w:eastAsia="Arial" w:hAnsi="Arial"/>
          <w:sz w:val="18"/>
          <w:szCs w:val="18"/>
          <w:color w:val="000000"/>
        </w:rPr>
        <w:t>$4.5 million</w:t>
      </w:r>
      <w:r>
        <w:rPr>
          <w:rFonts w:ascii="Arial" w:cs="Arial" w:eastAsia="Arial" w:hAnsi="Arial"/>
          <w:sz w:val="18"/>
          <w:szCs w:val="18"/>
          <w:color w:val="231F20"/>
        </w:rPr>
        <w:t xml:space="preserve">, of which </w:t>
      </w:r>
      <w:r>
        <w:rPr>
          <w:rFonts w:ascii="Arial" w:cs="Arial" w:eastAsia="Arial" w:hAnsi="Arial"/>
          <w:sz w:val="18"/>
          <w:szCs w:val="18"/>
          <w:color w:val="000000"/>
        </w:rPr>
        <w:t>$2.6 million</w:t>
      </w:r>
      <w:r>
        <w:rPr>
          <w:rFonts w:ascii="Arial" w:cs="Arial" w:eastAsia="Arial" w:hAnsi="Arial"/>
          <w:sz w:val="18"/>
          <w:szCs w:val="18"/>
          <w:color w:val="231F20"/>
        </w:rPr>
        <w:t>, if recognized, would favorably impact the Company's effective tax rate. As of December 31, 2016, the Company had unrecognized tax benefits of $4.1 million, of which $2.4 million, if recognized, would favorably impact the Company's effective tax rate.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Company does not anticipate a material change in its unrecognized tax benefits in the next 12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231F20"/>
        </w:rPr>
        <w:t>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34,190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76,499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66,879</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16,264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14,276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31,924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27,835</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55,302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48,466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108,423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94,714</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30,733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8,668</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42,768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39,401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37"/>
        </w:trPr>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0"/>
        </w:trPr>
        <w:tc>
          <w:tcPr>
            <w:tcW w:w="526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7,202</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29,132</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8,321</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5260" w:type="dxa"/>
            <w:vAlign w:val="bottom"/>
          </w:tcPr>
          <w:p>
            <w:pPr>
              <w:ind w:left="50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37,277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35,120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36,887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34,869</w:t>
            </w:r>
          </w:p>
        </w:tc>
      </w:tr>
      <w:tr>
        <w:trPr>
          <w:trHeight w:val="280"/>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5260" w:type="dxa"/>
            <w:vAlign w:val="bottom"/>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3,107</w:t>
            </w:r>
          </w:p>
        </w:tc>
      </w:tr>
      <w:tr>
        <w:trPr>
          <w:trHeight w:val="273"/>
        </w:trPr>
        <w:tc>
          <w:tcPr>
            <w:tcW w:w="52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Restricted stock units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50"/>
        </w:trPr>
        <w:tc>
          <w:tcPr>
            <w:tcW w:w="52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39,535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38,143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39,207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37,988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9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r>
      <w:tr>
        <w:trPr>
          <w:trHeight w:val="22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6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4"/>
          </w:tcPr>
          <w:p>
            <w:pPr>
              <w:jc w:val="center"/>
              <w:ind w:right="33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2040" w:type="dxa"/>
            <w:vAlign w:val="bottom"/>
            <w:tcBorders>
              <w:bottom w:val="single" w:sz="8" w:color="auto"/>
            </w:tcBorders>
            <w:gridSpan w:val="3"/>
          </w:tcPr>
          <w:p>
            <w:pPr>
              <w:jc w:val="center"/>
              <w:ind w:left="1040"/>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15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3"/>
          </w:tcPr>
          <w:p>
            <w:pPr>
              <w:ind w:left="50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1,261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3,892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3,540</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stock units</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r>
      <w:tr>
        <w:trPr>
          <w:trHeight w:val="236"/>
        </w:trPr>
        <w:tc>
          <w:tcPr>
            <w:tcW w:w="5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3,902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3,560</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 Subsequent Event</w:t>
      </w:r>
    </w:p>
    <w:p>
      <w:pPr>
        <w:spacing w:after="0" w:line="247" w:lineRule="exact"/>
        <w:rPr>
          <w:sz w:val="20"/>
          <w:szCs w:val="20"/>
          <w:color w:val="auto"/>
        </w:rPr>
      </w:pPr>
    </w:p>
    <w:p>
      <w:pPr>
        <w:jc w:val="both"/>
        <w:ind w:right="580" w:firstLine="648"/>
        <w:spacing w:after="0" w:line="256" w:lineRule="auto"/>
        <w:rPr>
          <w:sz w:val="20"/>
          <w:szCs w:val="20"/>
          <w:color w:val="auto"/>
        </w:rPr>
      </w:pPr>
      <w:r>
        <w:rPr>
          <w:rFonts w:ascii="Arial" w:cs="Arial" w:eastAsia="Arial" w:hAnsi="Arial"/>
          <w:sz w:val="18"/>
          <w:szCs w:val="18"/>
          <w:color w:val="231F20"/>
        </w:rPr>
        <w:t xml:space="preserve">On August 1, 2017 the Company announced </w:t>
      </w:r>
      <w:r>
        <w:rPr>
          <w:rFonts w:ascii="Arial" w:cs="Arial" w:eastAsia="Arial" w:hAnsi="Arial"/>
          <w:sz w:val="18"/>
          <w:szCs w:val="18"/>
          <w:color w:val="000000"/>
        </w:rPr>
        <w:t>the acquisition of Pune-based Nevis Networks, expanding the Company’s domain</w:t>
      </w:r>
      <w:r>
        <w:rPr>
          <w:rFonts w:ascii="Arial" w:cs="Arial" w:eastAsia="Arial" w:hAnsi="Arial"/>
          <w:sz w:val="18"/>
          <w:szCs w:val="18"/>
          <w:color w:val="231F20"/>
        </w:rPr>
        <w:t xml:space="preserve"> </w:t>
      </w:r>
      <w:r>
        <w:rPr>
          <w:rFonts w:ascii="Arial" w:cs="Arial" w:eastAsia="Arial" w:hAnsi="Arial"/>
          <w:sz w:val="18"/>
          <w:szCs w:val="18"/>
          <w:color w:val="000000"/>
        </w:rPr>
        <w:t>expertise in passive scanning and deep packet inspection as well as accelerating its entrance into the mitigation and response segment, natively from the Qualys Cloud Platform. We expect the acquisition to close in our quarter ending September 30, 2017.</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2016, filed with the Securities and Exchange Commission, or SEC, on February 24, 2017.</w:t>
      </w:r>
    </w:p>
    <w:p>
      <w:pPr>
        <w:spacing w:after="0" w:line="18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32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68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09"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213" w:lineRule="exact"/>
        <w:rPr>
          <w:sz w:val="20"/>
          <w:szCs w:val="20"/>
          <w:color w:val="auto"/>
        </w:rPr>
      </w:pPr>
    </w:p>
    <w:p>
      <w:pPr>
        <w:ind w:right="140" w:firstLine="392"/>
        <w:spacing w:after="0" w:line="251" w:lineRule="auto"/>
        <w:rPr>
          <w:sz w:val="20"/>
          <w:szCs w:val="20"/>
          <w:color w:val="auto"/>
        </w:rPr>
      </w:pPr>
      <w:r>
        <w:rPr>
          <w:rFonts w:ascii="Arial" w:cs="Arial" w:eastAsia="Arial" w:hAnsi="Arial"/>
          <w:sz w:val="18"/>
          <w:szCs w:val="18"/>
          <w:color w:val="auto"/>
        </w:rPr>
        <w:t>IT infrastructures are more complex and more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technologies intended to improve organizations’ operations can also increase vulnerability to cyber 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w:t>
      </w:r>
    </w:p>
    <w:p>
      <w:pPr>
        <w:spacing w:after="0" w:line="213" w:lineRule="exact"/>
        <w:rPr>
          <w:sz w:val="20"/>
          <w:szCs w:val="20"/>
          <w:color w:val="auto"/>
        </w:rPr>
      </w:pPr>
    </w:p>
    <w:p>
      <w:pPr>
        <w:ind w:right="40" w:firstLine="392"/>
        <w:spacing w:after="0" w:line="252" w:lineRule="auto"/>
        <w:rPr>
          <w:sz w:val="20"/>
          <w:szCs w:val="20"/>
          <w:color w:val="auto"/>
        </w:rPr>
      </w:pPr>
      <w:r>
        <w:rPr>
          <w:rFonts w:ascii="Arial" w:cs="Arial" w:eastAsia="Arial" w:hAnsi="Arial"/>
          <w:sz w:val="18"/>
          <w:szCs w:val="18"/>
          <w:color w:val="auto"/>
        </w:rPr>
        <w:t>We designed our Qualys Cloud Platform to transform the way organizations secure and protect their IT infrastructures and applications. Our cloud platform offers an integrated suite of solutions that automates the lifecycle of asset discovery, security assessments, and compliance management for an organization’s IT infrastructure and assets, whether they reside inside the organization, on their network perimeter, on endpoints or in the cloud. Our solutions are designed to be delivered through the cloud and to be easily and rapidly deployed on a global scale across a broad range of industries, enabling faster implementation and lower total cost of ownership than traditional on-premise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207" w:lineRule="exact"/>
        <w:rPr>
          <w:sz w:val="20"/>
          <w:szCs w:val="20"/>
          <w:color w:val="auto"/>
        </w:rPr>
      </w:pPr>
    </w:p>
    <w:p>
      <w:pPr>
        <w:ind w:right="40" w:firstLine="392"/>
        <w:spacing w:after="0" w:line="256"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Qualys Vulnerability Management (VM), in 2000. Our VM Solutions have provided a substantial majority of our revenues to date, representing 75% for the six months ended June 30, 2017.</w:t>
      </w:r>
    </w:p>
    <w:p>
      <w:pPr>
        <w:spacing w:after="0" w:line="202" w:lineRule="exact"/>
        <w:rPr>
          <w:sz w:val="20"/>
          <w:szCs w:val="20"/>
          <w:color w:val="auto"/>
        </w:rPr>
      </w:pPr>
    </w:p>
    <w:p>
      <w:pPr>
        <w:ind w:right="140" w:firstLine="392"/>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206"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231F20"/>
        </w:rPr>
        <w:t>Our revenues increased to $108.4 million in the six months ended June 30, 2017 from $94.7 million for the comparable period in 2016, representing an increase of $13.7 million or 14%.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1"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6"/>
          </w:tcPr>
          <w:p>
            <w:pPr>
              <w:jc w:val="center"/>
              <w:ind w:right="2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48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6"/>
                <w:szCs w:val="16"/>
                <w:b w:val="1"/>
                <w:bCs w:val="1"/>
                <w:color w:val="auto"/>
                <w:w w:val="99"/>
              </w:rPr>
              <w:t>June 30,</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47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48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5"/>
              </w:rPr>
              <w:t>2016</w:t>
            </w:r>
          </w:p>
        </w:tc>
      </w:tr>
      <w:tr>
        <w:trPr>
          <w:trHeight w:val="247"/>
        </w:trPr>
        <w:tc>
          <w:tcPr>
            <w:tcW w:w="4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80" w:type="dxa"/>
            <w:vAlign w:val="bottom"/>
            <w:gridSpan w:val="7"/>
          </w:tcPr>
          <w:p>
            <w:pPr>
              <w:spacing w:after="0"/>
              <w:rPr>
                <w:sz w:val="20"/>
                <w:szCs w:val="20"/>
                <w:color w:val="auto"/>
              </w:rPr>
            </w:pPr>
            <w:r>
              <w:rPr>
                <w:rFonts w:ascii="Arial" w:cs="Arial" w:eastAsia="Arial" w:hAnsi="Arial"/>
                <w:sz w:val="16"/>
                <w:szCs w:val="16"/>
                <w:b w:val="1"/>
                <w:bCs w:val="1"/>
                <w:color w:val="auto"/>
              </w:rPr>
              <w:t>(in thousands, except percentages)</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20,419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15,744</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37,227</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31,872</w:t>
            </w:r>
          </w:p>
        </w:tc>
      </w:tr>
      <w:tr>
        <w:trPr>
          <w:trHeight w:val="20"/>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0"/>
        </w:trPr>
        <w:tc>
          <w:tcPr>
            <w:tcW w:w="48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602"/>
        </w:trPr>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6"/>
          </w:tcPr>
          <w:p>
            <w:pPr>
              <w:jc w:val="center"/>
              <w:ind w:right="19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55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4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4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5"/>
          </w:tcPr>
          <w:p>
            <w:pPr>
              <w:jc w:val="center"/>
              <w:ind w:left="61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63"/>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35,763</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25,495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4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(5) stock-based compensation and (6) other non-recurring adjustments.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and six months ended June 30,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24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7,202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29,132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8,321</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5,196</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4,854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3,885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9,564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7,609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6,447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5,322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10,779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10,019</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One-time tax related 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r>
      <w:tr>
        <w:trPr>
          <w:trHeight w:val="243"/>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20,419</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15,744</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37,227</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31,872</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firstLine="8"/>
        <w:spacing w:after="0" w:line="250" w:lineRule="auto"/>
        <w:tabs>
          <w:tab w:leader="none" w:pos="2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for the three and six months ended June 30, 2016 excludes approximately $0.7 million of a non-recurring expense related to the remittance of payroll taxes from fiscal year 2013 through May 2016. During this same period, we have not excluded any amounts related to other non-recurring items from Adjusted EBITDA because we have considered such amounts to be immaterial in any given quarter during such period.</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26"/>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23"/>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583"/>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48,942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34,461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Less: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4"/>
                <w:szCs w:val="14"/>
                <w:color w:val="auto"/>
              </w:rPr>
              <w:t>(13,179)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(8,966)</w:t>
            </w:r>
          </w:p>
        </w:tc>
      </w:tr>
      <w:tr>
        <w:trPr>
          <w:trHeight w:val="243"/>
        </w:trPr>
        <w:tc>
          <w:tcPr>
            <w:tcW w:w="8340" w:type="dxa"/>
            <w:vAlign w:val="bottom"/>
          </w:tcPr>
          <w:p>
            <w:pPr>
              <w:ind w:left="40"/>
              <w:spacing w:after="0"/>
              <w:rPr>
                <w:sz w:val="20"/>
                <w:szCs w:val="20"/>
                <w:color w:val="auto"/>
              </w:rPr>
            </w:pPr>
            <w:r>
              <w:rPr>
                <w:rFonts w:ascii="Arial" w:cs="Arial" w:eastAsia="Arial" w:hAnsi="Arial"/>
                <w:sz w:val="14"/>
                <w:szCs w:val="14"/>
                <w:color w:val="auto"/>
              </w:rPr>
              <w:t>Free cash flow</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35,763</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25,495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288"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86" w:lineRule="exact"/>
        <w:rPr>
          <w:sz w:val="20"/>
          <w:szCs w:val="20"/>
          <w:color w:val="auto"/>
        </w:rPr>
      </w:pPr>
    </w:p>
    <w:p>
      <w:pPr>
        <w:jc w:val="both"/>
        <w:ind w:right="6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allocation of overhead costs.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allocation of overhead costs. All research and development costs are expensed as incurred. We expect to continue to devote substantial resources to research and development in an effort to continuously improve our existing solutions as well as develop new solutions and capabilities, which will increase research and development expenses in absolute dollars.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 and maintenance costs for sales-related software, and allocation of overhead costs.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support teams, as well as professional services, insurance, fees, and allocation of overhead costs. We expect that general and administrative expenses will increase in absolute dollars, as we continue to add personnel and incur professional services to support our growth and compliance with legal requirements.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4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and losses on disposal of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deductible and non-deductible stock-based compensation expense and other adjustments.</w:t>
      </w:r>
    </w:p>
    <w:p>
      <w:pPr>
        <w:spacing w:after="0" w:line="20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liabilities of a change in tax rates is recognized in income in the period when the statutory rate change is enacted into law.</w:t>
      </w:r>
    </w:p>
    <w:p>
      <w:pPr>
        <w:spacing w:after="0" w:line="225"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Taxes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We present our revenues net of sales tax in our condensed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9"/>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6"/>
          </w:tcPr>
          <w:p>
            <w:pPr>
              <w:jc w:val="right"/>
              <w:ind w:right="6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31F20"/>
              </w:rPr>
              <w:t>55,302</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231F20"/>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231F20"/>
              </w:rPr>
              <w:t>48,466</w:t>
            </w:r>
          </w:p>
        </w:tc>
        <w:tc>
          <w:tcPr>
            <w:tcW w:w="120" w:type="dxa"/>
            <w:vAlign w:val="bottom"/>
          </w:tcPr>
          <w:p>
            <w:pPr>
              <w:spacing w:after="0"/>
              <w:rPr>
                <w:sz w:val="22"/>
                <w:szCs w:val="22"/>
                <w:color w:val="auto"/>
              </w:rPr>
            </w:pPr>
          </w:p>
        </w:tc>
        <w:tc>
          <w:tcPr>
            <w:tcW w:w="160" w:type="dxa"/>
            <w:vAlign w:val="bottom"/>
            <w:gridSpan w:val="2"/>
          </w:tcPr>
          <w:p>
            <w:pPr>
              <w:jc w:val="center"/>
              <w:ind w:right="20"/>
              <w:spacing w:after="0"/>
              <w:rPr>
                <w:sz w:val="20"/>
                <w:szCs w:val="20"/>
                <w:color w:val="auto"/>
              </w:rPr>
            </w:pPr>
            <w:r>
              <w:rPr>
                <w:rFonts w:ascii="Arial" w:cs="Arial" w:eastAsia="Arial" w:hAnsi="Arial"/>
                <w:sz w:val="16"/>
                <w:szCs w:val="16"/>
                <w:color w:val="231F20"/>
              </w:rPr>
              <w:t>$</w:t>
            </w:r>
          </w:p>
        </w:tc>
        <w:tc>
          <w:tcPr>
            <w:tcW w:w="3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108,423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gridSpan w:val="2"/>
          </w:tcPr>
          <w:p>
            <w:pPr>
              <w:jc w:val="center"/>
              <w:ind w:right="340"/>
              <w:spacing w:after="0"/>
              <w:rPr>
                <w:sz w:val="20"/>
                <w:szCs w:val="20"/>
                <w:color w:val="auto"/>
              </w:rPr>
            </w:pPr>
            <w:r>
              <w:rPr>
                <w:rFonts w:ascii="Arial" w:cs="Arial" w:eastAsia="Arial" w:hAnsi="Arial"/>
                <w:sz w:val="16"/>
                <w:szCs w:val="16"/>
                <w:color w:val="231F20"/>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231F20"/>
              </w:rPr>
              <w:t>94,714</w:t>
            </w: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 (2)</w:t>
            </w:r>
          </w:p>
        </w:tc>
        <w:tc>
          <w:tcPr>
            <w:tcW w:w="360" w:type="dxa"/>
            <w:vAlign w:val="bottom"/>
            <w:tcBorders>
              <w:bottom w:val="single" w:sz="8" w:color="231F20"/>
            </w:tcBorders>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8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12,153</w:t>
            </w:r>
          </w:p>
        </w:tc>
        <w:tc>
          <w:tcPr>
            <w:tcW w:w="120" w:type="dxa"/>
            <w:vAlign w:val="bottom"/>
            <w:tcBorders>
              <w:bottom w:val="single" w:sz="8" w:color="231F20"/>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20" w:type="dxa"/>
            <w:vAlign w:val="bottom"/>
            <w:tcBorders>
              <w:bottom w:val="single" w:sz="8" w:color="231F20"/>
            </w:tcBorders>
            <w:shd w:val="clear" w:color="auto" w:fill="CCEEFF"/>
          </w:tcPr>
          <w:p>
            <w:pPr>
              <w:spacing w:after="0"/>
              <w:rPr>
                <w:sz w:val="24"/>
                <w:szCs w:val="24"/>
                <w:color w:val="auto"/>
              </w:rPr>
            </w:pPr>
          </w:p>
        </w:tc>
        <w:tc>
          <w:tcPr>
            <w:tcW w:w="280" w:type="dxa"/>
            <w:vAlign w:val="bottom"/>
            <w:tcBorders>
              <w:bottom w:val="single" w:sz="8" w:color="231F20"/>
            </w:tcBorders>
            <w:shd w:val="clear" w:color="auto" w:fill="CCEEFF"/>
          </w:tcPr>
          <w:p>
            <w:pPr>
              <w:spacing w:after="0"/>
              <w:rPr>
                <w:sz w:val="24"/>
                <w:szCs w:val="24"/>
                <w:color w:val="auto"/>
              </w:rPr>
            </w:pPr>
          </w:p>
        </w:tc>
        <w:tc>
          <w:tcPr>
            <w:tcW w:w="9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10,260</w:t>
            </w:r>
          </w:p>
        </w:tc>
        <w:tc>
          <w:tcPr>
            <w:tcW w:w="120" w:type="dxa"/>
            <w:vAlign w:val="bottom"/>
            <w:shd w:val="clear" w:color="auto" w:fill="CCEEFF"/>
          </w:tcPr>
          <w:p>
            <w:pPr>
              <w:spacing w:after="0"/>
              <w:rPr>
                <w:sz w:val="24"/>
                <w:szCs w:val="24"/>
                <w:color w:val="auto"/>
              </w:rPr>
            </w:pPr>
          </w:p>
        </w:tc>
        <w:tc>
          <w:tcPr>
            <w:tcW w:w="4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30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24,447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420" w:type="dxa"/>
            <w:vAlign w:val="bottom"/>
            <w:tcBorders>
              <w:bottom w:val="single" w:sz="8" w:color="231F20"/>
            </w:tcBorders>
            <w:shd w:val="clear" w:color="auto" w:fill="CCEEFF"/>
          </w:tcPr>
          <w:p>
            <w:pPr>
              <w:spacing w:after="0"/>
              <w:rPr>
                <w:sz w:val="24"/>
                <w:szCs w:val="24"/>
                <w:color w:val="auto"/>
              </w:rPr>
            </w:pPr>
          </w:p>
        </w:tc>
        <w:tc>
          <w:tcPr>
            <w:tcW w:w="98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19,811</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5060" w:type="dxa"/>
            <w:vAlign w:val="bottom"/>
            <w:gridSpan w:val="2"/>
          </w:tcPr>
          <w:p>
            <w:pPr>
              <w:ind w:left="8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38,206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83,976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74,903</w:t>
            </w: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5060" w:type="dxa"/>
            <w:vAlign w:val="bottom"/>
            <w:gridSpan w:val="2"/>
          </w:tcPr>
          <w:p>
            <w:pPr>
              <w:ind w:left="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 (2)</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31F20"/>
              </w:rPr>
              <w:t>10,525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231F20"/>
              </w:rPr>
              <w:t>9,488</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20,348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231F20"/>
              </w:rPr>
              <w:t>17,597</w:t>
            </w:r>
          </w:p>
        </w:tc>
        <w:tc>
          <w:tcPr>
            <w:tcW w:w="0" w:type="dxa"/>
            <w:vAlign w:val="bottom"/>
          </w:tcPr>
          <w:p>
            <w:pPr>
              <w:spacing w:after="0"/>
              <w:rPr>
                <w:sz w:val="1"/>
                <w:szCs w:val="1"/>
                <w:color w:val="auto"/>
              </w:rPr>
            </w:pPr>
          </w:p>
        </w:tc>
      </w:tr>
      <w:tr>
        <w:trPr>
          <w:trHeight w:val="270"/>
        </w:trPr>
        <w:tc>
          <w:tcPr>
            <w:tcW w:w="200" w:type="dxa"/>
            <w:vAlign w:val="bottom"/>
            <w:shd w:val="clear" w:color="auto" w:fill="CCEEFF"/>
          </w:tcPr>
          <w:p>
            <w:pPr>
              <w:spacing w:after="0"/>
              <w:rPr>
                <w:sz w:val="23"/>
                <w:szCs w:val="23"/>
                <w:color w:val="auto"/>
              </w:rPr>
            </w:pPr>
          </w:p>
        </w:tc>
        <w:tc>
          <w:tcPr>
            <w:tcW w:w="50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 (2)</w:t>
            </w: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15,383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14,728</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31,397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28,895</w:t>
            </w:r>
          </w:p>
        </w:tc>
        <w:tc>
          <w:tcPr>
            <w:tcW w:w="0" w:type="dxa"/>
            <w:vAlign w:val="bottom"/>
          </w:tcPr>
          <w:p>
            <w:pPr>
              <w:spacing w:after="0"/>
              <w:rPr>
                <w:sz w:val="1"/>
                <w:szCs w:val="1"/>
                <w:color w:val="auto"/>
              </w:rPr>
            </w:pPr>
          </w:p>
        </w:tc>
      </w:tr>
      <w:tr>
        <w:trPr>
          <w:trHeight w:val="270"/>
        </w:trPr>
        <w:tc>
          <w:tcPr>
            <w:tcW w:w="200" w:type="dxa"/>
            <w:vAlign w:val="bottom"/>
            <w:tcBorders>
              <w:bottom w:val="single" w:sz="8" w:color="CCEEFF"/>
            </w:tcBorders>
          </w:tcPr>
          <w:p>
            <w:pPr>
              <w:spacing w:after="0"/>
              <w:rPr>
                <w:sz w:val="23"/>
                <w:szCs w:val="23"/>
                <w:color w:val="auto"/>
              </w:rPr>
            </w:pPr>
          </w:p>
        </w:tc>
        <w:tc>
          <w:tcPr>
            <w:tcW w:w="506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 (2)</w:t>
            </w:r>
          </w:p>
        </w:tc>
        <w:tc>
          <w:tcPr>
            <w:tcW w:w="36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8,232</w:t>
            </w:r>
          </w:p>
        </w:tc>
        <w:tc>
          <w:tcPr>
            <w:tcW w:w="120" w:type="dxa"/>
            <w:vAlign w:val="bottom"/>
            <w:tcBorders>
              <w:bottom w:val="single" w:sz="8" w:color="231F20"/>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8,278</w:t>
            </w:r>
          </w:p>
        </w:tc>
        <w:tc>
          <w:tcPr>
            <w:tcW w:w="120" w:type="dxa"/>
            <w:vAlign w:val="bottom"/>
            <w:tcBorders>
              <w:bottom w:val="single" w:sz="8" w:color="CCEEFF"/>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15,566</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4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15,102</w:t>
            </w:r>
          </w:p>
        </w:tc>
        <w:tc>
          <w:tcPr>
            <w:tcW w:w="0" w:type="dxa"/>
            <w:vAlign w:val="bottom"/>
          </w:tcPr>
          <w:p>
            <w:pPr>
              <w:spacing w:after="0"/>
              <w:rPr>
                <w:sz w:val="1"/>
                <w:szCs w:val="1"/>
                <w:color w:val="auto"/>
              </w:rPr>
            </w:pPr>
          </w:p>
        </w:tc>
      </w:tr>
      <w:tr>
        <w:trPr>
          <w:trHeight w:val="244"/>
        </w:trPr>
        <w:tc>
          <w:tcPr>
            <w:tcW w:w="200" w:type="dxa"/>
            <w:vAlign w:val="bottom"/>
            <w:shd w:val="clear" w:color="auto" w:fill="CCEEFF"/>
          </w:tcPr>
          <w:p>
            <w:pPr>
              <w:spacing w:after="0"/>
              <w:rPr>
                <w:sz w:val="21"/>
                <w:szCs w:val="21"/>
                <w:color w:val="auto"/>
              </w:rPr>
            </w:pPr>
          </w:p>
        </w:tc>
        <w:tc>
          <w:tcPr>
            <w:tcW w:w="50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34,140</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32,494</w:t>
            </w:r>
          </w:p>
        </w:tc>
        <w:tc>
          <w:tcPr>
            <w:tcW w:w="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67,311</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61,594</w:t>
            </w: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5,712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16,665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13,309</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4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17,478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13,517</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60" w:type="dxa"/>
            <w:vAlign w:val="bottom"/>
            <w:tcBorders>
              <w:bottom w:val="single" w:sz="8" w:color="231F20"/>
            </w:tcBorders>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8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2,167</w:t>
            </w:r>
          </w:p>
        </w:tc>
        <w:tc>
          <w:tcPr>
            <w:tcW w:w="120" w:type="dxa"/>
            <w:vAlign w:val="bottom"/>
            <w:tcBorders>
              <w:bottom w:val="single" w:sz="8" w:color="231F20"/>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20" w:type="dxa"/>
            <w:vAlign w:val="bottom"/>
            <w:tcBorders>
              <w:bottom w:val="single" w:sz="8" w:color="231F20"/>
            </w:tcBorders>
            <w:shd w:val="clear" w:color="auto" w:fill="CCEEFF"/>
          </w:tcPr>
          <w:p>
            <w:pPr>
              <w:spacing w:after="0"/>
              <w:rPr>
                <w:sz w:val="23"/>
                <w:szCs w:val="23"/>
                <w:color w:val="auto"/>
              </w:rPr>
            </w:pPr>
          </w:p>
        </w:tc>
        <w:tc>
          <w:tcPr>
            <w:tcW w:w="28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2,214</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(11,654)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420" w:type="dxa"/>
            <w:vAlign w:val="bottom"/>
            <w:tcBorders>
              <w:bottom w:val="single" w:sz="8" w:color="231F20"/>
            </w:tcBorders>
            <w:shd w:val="clear" w:color="auto" w:fill="CCEEFF"/>
          </w:tcPr>
          <w:p>
            <w:pPr>
              <w:spacing w:after="0"/>
              <w:rPr>
                <w:sz w:val="23"/>
                <w:szCs w:val="23"/>
                <w:color w:val="auto"/>
              </w:rPr>
            </w:pPr>
          </w:p>
        </w:tc>
        <w:tc>
          <w:tcPr>
            <w:tcW w:w="98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5,196</w:t>
            </w:r>
          </w:p>
        </w:tc>
        <w:tc>
          <w:tcPr>
            <w:tcW w:w="0" w:type="dxa"/>
            <w:vAlign w:val="bottom"/>
          </w:tcPr>
          <w:p>
            <w:pPr>
              <w:spacing w:after="0"/>
              <w:rPr>
                <w:sz w:val="1"/>
                <w:szCs w:val="1"/>
                <w:color w:val="auto"/>
              </w:rPr>
            </w:pP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7,202</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3,538</w:t>
            </w:r>
          </w:p>
        </w:tc>
        <w:tc>
          <w:tcPr>
            <w:tcW w:w="120" w:type="dxa"/>
            <w:vAlign w:val="bottom"/>
          </w:tcPr>
          <w:p>
            <w:pPr>
              <w:spacing w:after="0"/>
              <w:rPr>
                <w:sz w:val="20"/>
                <w:szCs w:val="20"/>
                <w:color w:val="auto"/>
              </w:rPr>
            </w:pPr>
          </w:p>
        </w:tc>
        <w:tc>
          <w:tcPr>
            <w:tcW w:w="160" w:type="dxa"/>
            <w:vAlign w:val="bottom"/>
            <w:gridSpan w:val="2"/>
          </w:tcPr>
          <w:p>
            <w:pPr>
              <w:jc w:val="center"/>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29,132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8,321</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9"/>
                <w:szCs w:val="9"/>
                <w:color w:val="231F20"/>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2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20"/>
                <w:szCs w:val="20"/>
                <w:color w:val="auto"/>
              </w:rPr>
            </w:pPr>
            <w:r>
              <w:rPr>
                <w:rFonts w:ascii="Arial" w:cs="Arial" w:eastAsia="Arial" w:hAnsi="Arial"/>
                <w:sz w:val="9"/>
                <w:szCs w:val="9"/>
                <w:color w:val="231F20"/>
              </w:rPr>
              <w:t>(1)</w:t>
            </w:r>
          </w:p>
        </w:tc>
        <w:tc>
          <w:tcPr>
            <w:tcW w:w="5060" w:type="dxa"/>
            <w:vAlign w:val="bottom"/>
            <w:gridSpan w:val="2"/>
            <w:vMerge w:val="restart"/>
          </w:tcPr>
          <w:p>
            <w:pPr>
              <w:ind w:left="460"/>
              <w:spacing w:after="0"/>
              <w:rPr>
                <w:sz w:val="20"/>
                <w:szCs w:val="20"/>
                <w:color w:val="auto"/>
              </w:rPr>
            </w:pPr>
            <w:r>
              <w:rPr>
                <w:rFonts w:ascii="Arial" w:cs="Arial" w:eastAsia="Arial" w:hAnsi="Arial"/>
                <w:sz w:val="14"/>
                <w:szCs w:val="14"/>
                <w:color w:val="231F20"/>
              </w:rPr>
              <w:t>Includes stock-based compensation as follows:</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50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9"/>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6"/>
          </w:tcPr>
          <w:p>
            <w:pPr>
              <w:jc w:val="right"/>
              <w:ind w:right="5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9"/>
              </w:rPr>
              <w:t>(in thousands)</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7"/>
              </w:rPr>
              <w:t>536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423</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1,493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2,726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8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1,129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1,389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3,277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3,791</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6,447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5,322</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right="80" w:hanging="652"/>
        <w:spacing w:after="0" w:line="273" w:lineRule="auto"/>
        <w:tabs>
          <w:tab w:leader="none" w:pos="6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We </w:t>
      </w:r>
      <w:r>
        <w:rPr>
          <w:rFonts w:ascii="Arial" w:cs="Arial" w:eastAsia="Arial" w:hAnsi="Arial"/>
          <w:sz w:val="14"/>
          <w:szCs w:val="14"/>
          <w:color w:val="231F20"/>
        </w:rPr>
        <w:t>reclassified certain information technology expenses across the functions that benefit from their support. For the three months ended June 30, 2016, we reclassified</w:t>
      </w:r>
      <w:r>
        <w:rPr>
          <w:rFonts w:ascii="Arial" w:cs="Arial" w:eastAsia="Arial" w:hAnsi="Arial"/>
          <w:sz w:val="14"/>
          <w:szCs w:val="14"/>
          <w:color w:val="auto"/>
        </w:rPr>
        <w:t xml:space="preserve"> </w:t>
      </w:r>
      <w:r>
        <w:rPr>
          <w:rFonts w:ascii="Arial" w:cs="Arial" w:eastAsia="Arial" w:hAnsi="Arial"/>
          <w:sz w:val="14"/>
          <w:szCs w:val="14"/>
          <w:color w:val="231F20"/>
        </w:rPr>
        <w:t>$0.8 million out of general and administrative expenses. Of this amount we reclassified $0.2 million to cost of revenues, $0.3 million to research and development and $0.3 million to sales and marketing. For the six months ended June 30, 2016, we reclassified $1.4 million out of general and administrative expenses. Of this amount we reclassified $0.3 million to cost of revenues, $0.6 million to research and development and $0.5 million to sales and marketing.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26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6"/>
                <w:szCs w:val="16"/>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w w:val="99"/>
              </w:rPr>
              <w:t>June 30,</w:t>
            </w:r>
          </w:p>
        </w:tc>
        <w:tc>
          <w:tcPr>
            <w:tcW w:w="1060" w:type="dxa"/>
            <w:vAlign w:val="bottom"/>
            <w:tcBorders>
              <w:bottom w:val="single" w:sz="8" w:color="auto"/>
            </w:tcBorders>
          </w:tcPr>
          <w:p>
            <w:pPr>
              <w:spacing w:after="0"/>
              <w:rPr>
                <w:sz w:val="24"/>
                <w:szCs w:val="24"/>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57"/>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r>
      <w:tr>
        <w:trPr>
          <w:trHeight w:val="257"/>
        </w:trPr>
        <w:tc>
          <w:tcPr>
            <w:tcW w:w="6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r>
      <w:tr>
        <w:trPr>
          <w:trHeight w:val="260"/>
        </w:trPr>
        <w:tc>
          <w:tcPr>
            <w:tcW w:w="61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r>
      <w:tr>
        <w:trPr>
          <w:trHeight w:val="260"/>
        </w:trPr>
        <w:tc>
          <w:tcPr>
            <w:tcW w:w="612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31</w:t>
            </w:r>
          </w:p>
        </w:tc>
      </w:tr>
      <w:tr>
        <w:trPr>
          <w:trHeight w:val="273"/>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r>
      <w:tr>
        <w:trPr>
          <w:trHeight w:val="250"/>
        </w:trPr>
        <w:tc>
          <w:tcPr>
            <w:tcW w:w="5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65</w:t>
            </w:r>
          </w:p>
        </w:tc>
      </w:tr>
      <w:tr>
        <w:trPr>
          <w:trHeight w:val="257"/>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r>
      <w:tr>
        <w:trPr>
          <w:trHeight w:val="257"/>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r>
      <w:tr>
        <w:trPr>
          <w:trHeight w:val="24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and Six Months Ended June 30, 2017</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12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w w:val="99"/>
              </w:rPr>
              <w:t>June 30,</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6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55,302</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48,466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6,836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  $</w:t>
            </w:r>
          </w:p>
        </w:tc>
        <w:tc>
          <w:tcPr>
            <w:tcW w:w="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108,423</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94,714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13,709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bl>
    <w:p>
      <w:pPr>
        <w:spacing w:after="0" w:line="21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 xml:space="preserve">Revenues increased $6.8 million for the </w:t>
      </w:r>
      <w:r>
        <w:rPr>
          <w:rFonts w:ascii="Arial" w:cs="Arial" w:eastAsia="Arial" w:hAnsi="Arial"/>
          <w:sz w:val="18"/>
          <w:szCs w:val="18"/>
          <w:color w:val="000000"/>
        </w:rPr>
        <w:t>three months ended June 30,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2016</w:t>
      </w:r>
      <w:r>
        <w:rPr>
          <w:rFonts w:ascii="Arial" w:cs="Arial" w:eastAsia="Arial" w:hAnsi="Arial"/>
          <w:sz w:val="18"/>
          <w:szCs w:val="18"/>
          <w:color w:val="231F20"/>
        </w:rPr>
        <w:t xml:space="preserve">, due to an increase in the purchase of subscriptions from existing customers and new customer subscriptions entered into after June 30, 2016. Of the total increase of </w:t>
      </w:r>
      <w:r>
        <w:rPr>
          <w:rFonts w:ascii="Arial" w:cs="Arial" w:eastAsia="Arial" w:hAnsi="Arial"/>
          <w:sz w:val="18"/>
          <w:szCs w:val="18"/>
          <w:color w:val="000000"/>
        </w:rPr>
        <w:t>$ 6.8 million</w:t>
      </w:r>
      <w:r>
        <w:rPr>
          <w:rFonts w:ascii="Arial" w:cs="Arial" w:eastAsia="Arial" w:hAnsi="Arial"/>
          <w:sz w:val="18"/>
          <w:szCs w:val="18"/>
          <w:color w:val="231F20"/>
        </w:rPr>
        <w:t>, $4.8 million was from customers in the United States and the remaining $2.0 million was from customers in foreign countries. The growth in revenues reflects the continued demand for our solutions.</w:t>
      </w:r>
    </w:p>
    <w:p>
      <w:pPr>
        <w:spacing w:after="0" w:line="20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231F20"/>
        </w:rPr>
        <w:t xml:space="preserve">Revenues increased $13.7 million for the six </w:t>
      </w:r>
      <w:r>
        <w:rPr>
          <w:rFonts w:ascii="Arial" w:cs="Arial" w:eastAsia="Arial" w:hAnsi="Arial"/>
          <w:sz w:val="18"/>
          <w:szCs w:val="18"/>
          <w:color w:val="000000"/>
        </w:rPr>
        <w:t>months ended June 30, 2017</w:t>
      </w:r>
      <w:r>
        <w:rPr>
          <w:rFonts w:ascii="Arial" w:cs="Arial" w:eastAsia="Arial" w:hAnsi="Arial"/>
          <w:sz w:val="18"/>
          <w:szCs w:val="18"/>
          <w:color w:val="231F20"/>
        </w:rPr>
        <w:t xml:space="preserve"> compared to the same period a year ago, due to an increase in the purchase of subscriptions from existing customers and new customer subscriptions entered into after June 30, 2016. Of the total increase of $13.7 million, $9.6 million was from customers in the United States and the remaining $4.1 million was from customers in foreign countries.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0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6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12,153</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1,893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24,447</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19,811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4,636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231F20"/>
        </w:rPr>
        <w:t xml:space="preserve">Cost of revenues increased $1.9 million for the </w:t>
      </w:r>
      <w:r>
        <w:rPr>
          <w:rFonts w:ascii="Arial" w:cs="Arial" w:eastAsia="Arial" w:hAnsi="Arial"/>
          <w:sz w:val="18"/>
          <w:szCs w:val="18"/>
          <w:color w:val="000000"/>
        </w:rPr>
        <w:t>three months ended June 30,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2016,</w:t>
      </w:r>
      <w:r>
        <w:rPr>
          <w:rFonts w:ascii="Arial" w:cs="Arial" w:eastAsia="Arial" w:hAnsi="Arial"/>
          <w:sz w:val="18"/>
          <w:szCs w:val="18"/>
          <w:color w:val="231F20"/>
        </w:rPr>
        <w:t xml:space="preserve"> primarily due to increased depreciation expense of $ 0.9 million related to the expansion of our data centers, computer hardware, and software, and increased personnel expenses of $0.8 million to support continued growth of our business.</w:t>
      </w:r>
    </w:p>
    <w:p>
      <w:pPr>
        <w:spacing w:after="0" w:line="20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For the six months ended June 30, 2017, cost of revenues increased $4.6 million compared to the six </w:t>
      </w:r>
      <w:r>
        <w:rPr>
          <w:rFonts w:ascii="Arial" w:cs="Arial" w:eastAsia="Arial" w:hAnsi="Arial"/>
          <w:sz w:val="18"/>
          <w:szCs w:val="18"/>
          <w:color w:val="000000"/>
        </w:rPr>
        <w:t>months ended June 30, 2016,</w:t>
      </w:r>
      <w:r>
        <w:rPr>
          <w:rFonts w:ascii="Arial" w:cs="Arial" w:eastAsia="Arial" w:hAnsi="Arial"/>
          <w:sz w:val="18"/>
          <w:szCs w:val="18"/>
          <w:color w:val="231F20"/>
        </w:rPr>
        <w:t xml:space="preserve"> primarily due to increased personnel expenses of $1.9 million to support continued growth of our business; a $1.7 million increase in depreciation expense related to the expansion of our data centers, computer hardware, and software; increased overhead costs of $0.6 million; and increased third-party software license and maintenance expense of $0.3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8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6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10,525</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1,037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20,348</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17,597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2,751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1"/>
        </w:trPr>
        <w:tc>
          <w:tcPr>
            <w:tcW w:w="2500" w:type="dxa"/>
            <w:vAlign w:val="bottom"/>
            <w:gridSpan w:val="2"/>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8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231F20"/>
        </w:rPr>
        <w:t xml:space="preserve">Research and development expenses increased $1.0 million for the three months ended June 30, 2017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2016</w:t>
      </w:r>
      <w:r>
        <w:rPr>
          <w:rFonts w:ascii="Arial" w:cs="Arial" w:eastAsia="Arial" w:hAnsi="Arial"/>
          <w:sz w:val="18"/>
          <w:szCs w:val="18"/>
          <w:color w:val="231F20"/>
        </w:rPr>
        <w:t>, primarily due to an increase in personnel expenses of $1.1 million, driven by the increase in the number of employees,</w:t>
      </w:r>
      <w:r>
        <w:rPr>
          <w:rFonts w:ascii="Arial" w:cs="Arial" w:eastAsia="Arial" w:hAnsi="Arial"/>
          <w:sz w:val="18"/>
          <w:szCs w:val="18"/>
          <w:color w:val="000000"/>
        </w:rPr>
        <w:t xml:space="preserve"> </w:t>
      </w:r>
      <w:r>
        <w:rPr>
          <w:rFonts w:ascii="Arial" w:cs="Arial" w:eastAsia="Arial" w:hAnsi="Arial"/>
          <w:sz w:val="18"/>
          <w:szCs w:val="18"/>
          <w:color w:val="231F20"/>
        </w:rPr>
        <w:t>and increased overhead costs of $0.3 million. These increases were partially offset by a decrease in consulting and temporary services of $0.3 million and a decrease in travel and training expenses of $0.1 million.</w:t>
      </w:r>
    </w:p>
    <w:p>
      <w:pPr>
        <w:spacing w:after="0" w:line="3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Research and development expenses increased $2.8 million for the six months ended June 30, 2017 compared to the same period a year ago, primarily due to an increase in personnel expenses of $2.7 million, driven by the increase in the number of employees, and increased overhead costs of $0.6 million as we continue to grow. These increases were partially offset by a decrease in consulting and temporary services of $0.3 million, a $0.1 million decrease in travel expense, and a $ 0.1 million decrease in licenses and software costs. We continue to significantly invest in and expand our research and development teams to continuously improve our platform and existing solutions, as well as develop new solutions and capabilities.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1"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0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6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15,383</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655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31,397</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28,895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2,502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51"/>
        </w:trPr>
        <w:tc>
          <w:tcPr>
            <w:tcW w:w="2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35"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231F20"/>
        </w:rPr>
        <w:t xml:space="preserve">Sales and marketing expenses increased $0.7 million for the </w:t>
      </w:r>
      <w:r>
        <w:rPr>
          <w:rFonts w:ascii="Arial" w:cs="Arial" w:eastAsia="Arial" w:hAnsi="Arial"/>
          <w:sz w:val="18"/>
          <w:szCs w:val="18"/>
          <w:color w:val="000000"/>
        </w:rPr>
        <w:t>three months ended June 30,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2016</w:t>
      </w:r>
      <w:r>
        <w:rPr>
          <w:rFonts w:ascii="Arial" w:cs="Arial" w:eastAsia="Arial" w:hAnsi="Arial"/>
          <w:sz w:val="18"/>
          <w:szCs w:val="18"/>
          <w:color w:val="231F20"/>
        </w:rPr>
        <w:t>, primarily due to increased advertising and customer acquisition costs of $0.6 million; increased overhead costs of $0.4 million;</w:t>
      </w:r>
      <w:r>
        <w:rPr>
          <w:rFonts w:ascii="Arial" w:cs="Arial" w:eastAsia="Arial" w:hAnsi="Arial"/>
          <w:sz w:val="18"/>
          <w:szCs w:val="18"/>
          <w:color w:val="000000"/>
        </w:rPr>
        <w:t xml:space="preserve"> </w:t>
      </w:r>
      <w:r>
        <w:rPr>
          <w:rFonts w:ascii="Arial" w:cs="Arial" w:eastAsia="Arial" w:hAnsi="Arial"/>
          <w:sz w:val="18"/>
          <w:szCs w:val="18"/>
          <w:color w:val="231F20"/>
        </w:rPr>
        <w:t>and increased personnel expenses of $0.3 million, principally due to an increase in the number of employees. These increases were partially offset by a decrease in costs related to trade shows of $0.3 million and a decrease in consulting and temporary services of $0.2 million.</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231F20"/>
        </w:rPr>
        <w:t xml:space="preserve">Sales and marketing expenses increased $2.5 million for the six </w:t>
      </w:r>
      <w:r>
        <w:rPr>
          <w:rFonts w:ascii="Arial" w:cs="Arial" w:eastAsia="Arial" w:hAnsi="Arial"/>
          <w:sz w:val="18"/>
          <w:szCs w:val="18"/>
          <w:color w:val="000000"/>
        </w:rPr>
        <w:t>months ended June 30, 2017</w:t>
      </w:r>
      <w:r>
        <w:rPr>
          <w:rFonts w:ascii="Arial" w:cs="Arial" w:eastAsia="Arial" w:hAnsi="Arial"/>
          <w:sz w:val="18"/>
          <w:szCs w:val="18"/>
          <w:color w:val="231F20"/>
        </w:rPr>
        <w:t xml:space="preserve"> compared to the six </w:t>
      </w:r>
      <w:r>
        <w:rPr>
          <w:rFonts w:ascii="Arial" w:cs="Arial" w:eastAsia="Arial" w:hAnsi="Arial"/>
          <w:sz w:val="18"/>
          <w:szCs w:val="18"/>
          <w:color w:val="000000"/>
        </w:rPr>
        <w:t>months ended June</w:t>
      </w:r>
      <w:r>
        <w:rPr>
          <w:rFonts w:ascii="Arial" w:cs="Arial" w:eastAsia="Arial" w:hAnsi="Arial"/>
          <w:sz w:val="18"/>
          <w:szCs w:val="18"/>
          <w:color w:val="231F20"/>
        </w:rPr>
        <w:t xml:space="preserve"> </w:t>
      </w:r>
      <w:r>
        <w:rPr>
          <w:rFonts w:ascii="Arial" w:cs="Arial" w:eastAsia="Arial" w:hAnsi="Arial"/>
          <w:sz w:val="18"/>
          <w:szCs w:val="18"/>
          <w:color w:val="000000"/>
        </w:rPr>
        <w:t>30, 2016</w:t>
      </w:r>
      <w:r>
        <w:rPr>
          <w:rFonts w:ascii="Arial" w:cs="Arial" w:eastAsia="Arial" w:hAnsi="Arial"/>
          <w:sz w:val="18"/>
          <w:szCs w:val="18"/>
          <w:color w:val="231F20"/>
        </w:rPr>
        <w:t>, primarily due to increased personnel expenses of $1.3 million, principally due to an increase in the number of employees; advertising</w:t>
      </w:r>
      <w:r>
        <w:rPr>
          <w:rFonts w:ascii="Arial" w:cs="Arial" w:eastAsia="Arial" w:hAnsi="Arial"/>
          <w:sz w:val="18"/>
          <w:szCs w:val="18"/>
          <w:color w:val="000000"/>
        </w:rPr>
        <w:t xml:space="preserve"> </w:t>
      </w:r>
      <w:r>
        <w:rPr>
          <w:rFonts w:ascii="Arial" w:cs="Arial" w:eastAsia="Arial" w:hAnsi="Arial"/>
          <w:sz w:val="18"/>
          <w:szCs w:val="18"/>
          <w:color w:val="231F20"/>
        </w:rPr>
        <w:t>and customer acquisition costs of $0.9 million; and overhead costs of $ 0.9 million. These increases were partially offset by a decrease in costs related to trade shows of $0.5 million and a decrease in consulting and temporary services of $0.2 million.</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660" w:type="dxa"/>
            <w:vAlign w:val="bottom"/>
          </w:tcPr>
          <w:p>
            <w:pPr>
              <w:spacing w:after="0"/>
              <w:rPr>
                <w:sz w:val="18"/>
                <w:szCs w:val="18"/>
                <w:color w:val="auto"/>
              </w:rPr>
            </w:pPr>
          </w:p>
        </w:tc>
      </w:tr>
      <w:tr>
        <w:trPr>
          <w:trHeight w:val="283"/>
        </w:trPr>
        <w:tc>
          <w:tcPr>
            <w:tcW w:w="2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4"/>
                <w:szCs w:val="24"/>
                <w:color w:val="auto"/>
              </w:rPr>
            </w:pPr>
          </w:p>
        </w:tc>
      </w:tr>
      <w:tr>
        <w:trPr>
          <w:trHeight w:val="264"/>
        </w:trPr>
        <w:tc>
          <w:tcPr>
            <w:tcW w:w="2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8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8,232</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(46)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  $</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15,566</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464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22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3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 xml:space="preserve">General and administrative expenses were relatively flat for the </w:t>
      </w:r>
      <w:r>
        <w:rPr>
          <w:rFonts w:ascii="Arial" w:cs="Arial" w:eastAsia="Arial" w:hAnsi="Arial"/>
          <w:sz w:val="18"/>
          <w:szCs w:val="18"/>
          <w:color w:val="000000"/>
        </w:rPr>
        <w:t>three months ended June 30,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2016</w:t>
      </w:r>
      <w:r>
        <w:rPr>
          <w:rFonts w:ascii="Arial" w:cs="Arial" w:eastAsia="Arial" w:hAnsi="Arial"/>
          <w:sz w:val="18"/>
          <w:szCs w:val="18"/>
          <w:color w:val="231F20"/>
        </w:rPr>
        <w:t>, primarily due to a decrease of $0.7 million in a non-recurring expense related to the remittance of payroll taxes from fiscal year</w:t>
      </w:r>
      <w:r>
        <w:rPr>
          <w:rFonts w:ascii="Arial" w:cs="Arial" w:eastAsia="Arial" w:hAnsi="Arial"/>
          <w:sz w:val="18"/>
          <w:szCs w:val="18"/>
          <w:color w:val="000000"/>
        </w:rPr>
        <w:t xml:space="preserve"> </w:t>
      </w:r>
      <w:r>
        <w:rPr>
          <w:rFonts w:ascii="Arial" w:cs="Arial" w:eastAsia="Arial" w:hAnsi="Arial"/>
          <w:sz w:val="18"/>
          <w:szCs w:val="18"/>
          <w:color w:val="231F20"/>
        </w:rPr>
        <w:t>2013 through May 2016; a decrease of $0.6 million in consulting and professional services; and a decrease in net overhead costs of $0.5 million. These declines were partially offset by an increase in personnel expenses of $1.3 million, primarily from stock-based compensation, a $0.3 million increase in bad debt expense and a $0.3 million increase in payroll tax penalty.</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 xml:space="preserve">General and administrative expenses increased $0.5 million for the six </w:t>
      </w:r>
      <w:r>
        <w:rPr>
          <w:rFonts w:ascii="Arial" w:cs="Arial" w:eastAsia="Arial" w:hAnsi="Arial"/>
          <w:sz w:val="18"/>
          <w:szCs w:val="18"/>
          <w:color w:val="000000"/>
        </w:rPr>
        <w:t>months ended June 30, 2017</w:t>
      </w:r>
      <w:r>
        <w:rPr>
          <w:rFonts w:ascii="Arial" w:cs="Arial" w:eastAsia="Arial" w:hAnsi="Arial"/>
          <w:sz w:val="18"/>
          <w:szCs w:val="18"/>
          <w:color w:val="231F20"/>
        </w:rPr>
        <w:t xml:space="preserve"> compared to the same period a year ago, primarily driven by increased personnel expenses of $2.8 million, primarily from stock-based compensation; a $0.3 million increase in payroll tax penalty; and a $0.2 million increase in bad debt expense. These increases were partially offset by decreases in net overhead costs of $1.3 million; consulting and professional services of $0.8 million; and a non-recurring expense of $0.7 million related to the remittance of payroll taxes from fiscal year 2013 through May 2016.</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w w:val="99"/>
              </w:rPr>
              <w:t>Three Months Ended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6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8"/>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4"/>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360</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320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800%  $</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813</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605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57"/>
        </w:trPr>
        <w:tc>
          <w:tcPr>
            <w:tcW w:w="22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2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Total other income (expense), net increased by $0.3 million for the three months ended June 30, 2017 compared to the three months ended June 30, 2016, and by $0.6 million for the six months ended June 30, 2017 compared to the six months ended June 30, 2016 due to an increase in interest income as our cash and investment balances increased year over year.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w w:val="99"/>
              </w:rPr>
              <w:t>Three Months Ended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83"/>
        </w:trPr>
        <w:tc>
          <w:tcPr>
            <w:tcW w:w="2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2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2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8"/>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provision for</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2,167</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  $</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(11,654)</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(16,850)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51"/>
        </w:trPr>
        <w:tc>
          <w:tcPr>
            <w:tcW w:w="22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(66.7)%</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62"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provision of $2.2 million for each of the three months ended June 30, 2017 and 2016. The decrease in the</w:t>
      </w:r>
      <w:r>
        <w:rPr>
          <w:rFonts w:ascii="Arial" w:cs="Arial" w:eastAsia="Arial" w:hAnsi="Arial"/>
          <w:sz w:val="18"/>
          <w:szCs w:val="18"/>
          <w:color w:val="231F20"/>
        </w:rPr>
        <w:t xml:space="preserve"> </w:t>
      </w:r>
      <w:r>
        <w:rPr>
          <w:rFonts w:ascii="Arial" w:cs="Arial" w:eastAsia="Arial" w:hAnsi="Arial"/>
          <w:sz w:val="18"/>
          <w:szCs w:val="18"/>
          <w:color w:val="000000"/>
        </w:rPr>
        <w:t xml:space="preserve">effective tax rate for the three months ended June 30, 2017 was primarily due to </w:t>
      </w:r>
      <w:r>
        <w:rPr>
          <w:rFonts w:ascii="Arial" w:cs="Arial" w:eastAsia="Arial" w:hAnsi="Arial"/>
          <w:sz w:val="18"/>
          <w:szCs w:val="18"/>
          <w:color w:val="231F20"/>
        </w:rPr>
        <w:t>recognizing excess tax benefits related to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as required by ASU 2016-09</w:t>
      </w:r>
      <w:r>
        <w:rPr>
          <w:rFonts w:ascii="Arial" w:cs="Arial" w:eastAsia="Arial" w:hAnsi="Arial"/>
          <w:sz w:val="18"/>
          <w:szCs w:val="18"/>
          <w:color w:val="000000"/>
        </w:rPr>
        <w:t>.</w:t>
      </w:r>
    </w:p>
    <w:p>
      <w:pPr>
        <w:spacing w:after="0" w:line="202"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 xml:space="preserve">We recorded an income tax benefit of $11.7 million and an income tax provision of $5.2 million for the six months ended June 30, 2017 and 2016, respectively. The decrease in the tax provision and the effective tax rate for the six months ended June 30, 2017 was primarily due to </w:t>
      </w:r>
      <w:r>
        <w:rPr>
          <w:rFonts w:ascii="Arial" w:cs="Arial" w:eastAsia="Arial" w:hAnsi="Arial"/>
          <w:sz w:val="18"/>
          <w:szCs w:val="18"/>
          <w:color w:val="231F20"/>
        </w:rPr>
        <w:t>recognizing excess tax benefits related to stock-based compensation as required by ASU 2016-09</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June 30, 2017</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$324 million</w:t>
      </w:r>
      <w:r>
        <w:rPr>
          <w:rFonts w:ascii="Arial" w:cs="Arial" w:eastAsia="Arial" w:hAnsi="Arial"/>
          <w:sz w:val="18"/>
          <w:szCs w:val="18"/>
          <w:color w:val="231F20"/>
        </w:rPr>
        <w:t>, including $3.8 million held outside of the United States by our foreign subsidiaries. We do not intend to repatriate these funds generated from foreign operations to fund our domestic operations.</w:t>
      </w:r>
    </w:p>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We experienced positive cash flows from operations during the six months ended June 30, 2017 and 2016.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1"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560" w:firstLine="162"/>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48,942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34,461</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(4,556)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(21,174)</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provided by 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13,209</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43,835</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26,496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2017</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$48.9 million</w:t>
      </w:r>
      <w:r>
        <w:rPr>
          <w:rFonts w:ascii="Arial" w:cs="Arial" w:eastAsia="Arial" w:hAnsi="Arial"/>
          <w:sz w:val="18"/>
          <w:szCs w:val="18"/>
          <w:color w:val="231F20"/>
        </w:rPr>
        <w:t xml:space="preserve"> primarily resulted from our net income of approximately $ 29.1 million, as adjusted by an increase in deferred revenues of </w:t>
      </w:r>
      <w:r>
        <w:rPr>
          <w:rFonts w:ascii="Arial" w:cs="Arial" w:eastAsia="Arial" w:hAnsi="Arial"/>
          <w:sz w:val="18"/>
          <w:szCs w:val="18"/>
          <w:color w:val="000000"/>
        </w:rPr>
        <w:t>$10.9 million</w:t>
      </w:r>
      <w:r>
        <w:rPr>
          <w:rFonts w:ascii="Arial" w:cs="Arial" w:eastAsia="Arial" w:hAnsi="Arial"/>
          <w:sz w:val="18"/>
          <w:szCs w:val="18"/>
          <w:color w:val="231F20"/>
        </w:rPr>
        <w:t xml:space="preserve"> attributable to our continued growth. This working capital increase was further increased by non-cash items including stock-based compensation of $10.8 million, depreciation and amortization expense of $9.8 million and excess tax benefits included in deferred tax assets of $8.4 million. These increases were partially offset by additions to deferred income tax assets of $20.9 million.</w:t>
      </w:r>
    </w:p>
    <w:p>
      <w:pPr>
        <w:spacing w:after="0" w:line="20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2016</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$34.5 million</w:t>
      </w:r>
      <w:r>
        <w:rPr>
          <w:rFonts w:ascii="Arial" w:cs="Arial" w:eastAsia="Arial" w:hAnsi="Arial"/>
          <w:sz w:val="18"/>
          <w:szCs w:val="18"/>
          <w:color w:val="231F20"/>
        </w:rPr>
        <w:t xml:space="preserve"> resulted from our net income of approximately $8.3 million, as adjusted by an increase in deferred revenues of </w:t>
      </w:r>
      <w:r>
        <w:rPr>
          <w:rFonts w:ascii="Arial" w:cs="Arial" w:eastAsia="Arial" w:hAnsi="Arial"/>
          <w:sz w:val="18"/>
          <w:szCs w:val="18"/>
          <w:color w:val="000000"/>
        </w:rPr>
        <w:t>$ 4.2 million</w:t>
      </w:r>
      <w:r>
        <w:rPr>
          <w:rFonts w:ascii="Arial" w:cs="Arial" w:eastAsia="Arial" w:hAnsi="Arial"/>
          <w:sz w:val="18"/>
          <w:szCs w:val="18"/>
          <w:color w:val="231F20"/>
        </w:rPr>
        <w:t xml:space="preserve">, attributable to our continued growth, an increase in accounts payable and accrued liabilities of $4.9 million due to the purchase of a large software license in the period, and a decrease in accounts receivable of $ 1.8 million. These working capital increases were further increased by non-cash items including depreciation and amortization expense of </w:t>
      </w:r>
      <w:r>
        <w:rPr>
          <w:rFonts w:ascii="Arial" w:cs="Arial" w:eastAsia="Arial" w:hAnsi="Arial"/>
          <w:sz w:val="18"/>
          <w:szCs w:val="18"/>
          <w:color w:val="000000"/>
        </w:rPr>
        <w:t>$7.8 million</w:t>
      </w:r>
      <w:r>
        <w:rPr>
          <w:rFonts w:ascii="Arial" w:cs="Arial" w:eastAsia="Arial" w:hAnsi="Arial"/>
          <w:sz w:val="18"/>
          <w:szCs w:val="18"/>
          <w:color w:val="231F20"/>
        </w:rPr>
        <w:t xml:space="preserve"> and stock-based compensation expense of $10.0 million. These increases were partially offset by excess tax benefits from stock-based compensation of $3.7 million.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2017</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$4.6 million was primarily attributable to $13.2 million of</w:t>
      </w:r>
      <w:r>
        <w:rPr>
          <w:rFonts w:ascii="Arial" w:cs="Arial" w:eastAsia="Arial" w:hAnsi="Arial"/>
          <w:sz w:val="18"/>
          <w:szCs w:val="18"/>
          <w:color w:val="231F20"/>
        </w:rPr>
        <w:t xml:space="preserve"> </w:t>
      </w:r>
      <w:r>
        <w:rPr>
          <w:rFonts w:ascii="Arial" w:cs="Arial" w:eastAsia="Arial" w:hAnsi="Arial"/>
          <w:sz w:val="18"/>
          <w:szCs w:val="18"/>
          <w:color w:val="000000"/>
        </w:rPr>
        <w:t>cash used for capital expenditures, including computer hardware and software for our data centers to support our growth and development. This increase was partially offset by sales and maturities of investments, net of purchases of $8.6 million.</w:t>
      </w:r>
    </w:p>
    <w:p>
      <w:pPr>
        <w:spacing w:after="0" w:line="202" w:lineRule="exact"/>
        <w:rPr>
          <w:sz w:val="20"/>
          <w:szCs w:val="20"/>
          <w:color w:val="auto"/>
        </w:rPr>
      </w:pPr>
    </w:p>
    <w:p>
      <w:pPr>
        <w:ind w:right="340" w:firstLine="486"/>
        <w:spacing w:after="0" w:line="254"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2016</w:t>
      </w:r>
      <w:r>
        <w:rPr>
          <w:rFonts w:ascii="Arial" w:cs="Arial" w:eastAsia="Arial" w:hAnsi="Arial"/>
          <w:sz w:val="18"/>
          <w:szCs w:val="18"/>
          <w:color w:val="231F20"/>
        </w:rPr>
        <w:t xml:space="preserve">, cash used in investing activities of $21.2 million was primarily attributable to </w:t>
      </w:r>
      <w:r>
        <w:rPr>
          <w:rFonts w:ascii="Arial" w:cs="Arial" w:eastAsia="Arial" w:hAnsi="Arial"/>
          <w:sz w:val="18"/>
          <w:szCs w:val="18"/>
          <w:color w:val="000000"/>
        </w:rPr>
        <w:t>$ 9.0 million of</w:t>
      </w:r>
      <w:r>
        <w:rPr>
          <w:rFonts w:ascii="Arial" w:cs="Arial" w:eastAsia="Arial" w:hAnsi="Arial"/>
          <w:sz w:val="18"/>
          <w:szCs w:val="18"/>
          <w:color w:val="231F20"/>
        </w:rPr>
        <w:t xml:space="preserve"> </w:t>
      </w:r>
      <w:r>
        <w:rPr>
          <w:rFonts w:ascii="Arial" w:cs="Arial" w:eastAsia="Arial" w:hAnsi="Arial"/>
          <w:sz w:val="18"/>
          <w:szCs w:val="18"/>
          <w:color w:val="000000"/>
        </w:rPr>
        <w:t>cash used for capital expenditures, including computer hardware and software for our data centers to support our growth and development, and physical scanner appliances and computer hardware provided to certain customers as part of their subscriptions; and purchases of investments, net of sales and maturities of $12.2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2017</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$0.6 million</w:t>
      </w:r>
      <w:r>
        <w:rPr>
          <w:rFonts w:ascii="Arial" w:cs="Arial" w:eastAsia="Arial" w:hAnsi="Arial"/>
          <w:sz w:val="18"/>
          <w:szCs w:val="18"/>
          <w:color w:val="231F20"/>
        </w:rPr>
        <w:t xml:space="preserve"> was primarily attributable to payments for taxes related to employee net share settlement of equity awards of $15.2 million, partially offset by the proceeds from the exercise of stock options of $14.6 million.</w:t>
      </w:r>
    </w:p>
    <w:p>
      <w:pPr>
        <w:spacing w:after="0" w:line="202" w:lineRule="exact"/>
        <w:rPr>
          <w:sz w:val="20"/>
          <w:szCs w:val="20"/>
          <w:color w:val="auto"/>
        </w:rPr>
      </w:pPr>
    </w:p>
    <w:p>
      <w:pPr>
        <w:jc w:val="both"/>
        <w:ind w:right="80" w:firstLine="486"/>
        <w:spacing w:after="0" w:line="262"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2016</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$ 13.2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$9.5 million</w:t>
      </w:r>
      <w:r>
        <w:rPr>
          <w:rFonts w:ascii="Arial" w:cs="Arial" w:eastAsia="Arial" w:hAnsi="Arial"/>
          <w:sz w:val="18"/>
          <w:szCs w:val="18"/>
          <w:color w:val="231F20"/>
        </w:rPr>
        <w:t xml:space="preserve"> of proceeds from the exercise of stock options and $3.7 million of tax benefit from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office equipment. The following table summarizes our contractual cash obligations at </w:t>
      </w:r>
      <w:r>
        <w:rPr>
          <w:rFonts w:ascii="Arial" w:cs="Arial" w:eastAsia="Arial" w:hAnsi="Arial"/>
          <w:sz w:val="18"/>
          <w:szCs w:val="18"/>
          <w:color w:val="000000"/>
        </w:rPr>
        <w:t>June 30, 2017</w:t>
      </w:r>
      <w:r>
        <w:rPr>
          <w:rFonts w:ascii="Arial" w:cs="Arial" w:eastAsia="Arial" w:hAnsi="Arial"/>
          <w:sz w:val="18"/>
          <w:szCs w:val="18"/>
          <w:color w:val="231F20"/>
        </w:rPr>
        <w:t xml:space="preserve"> and the effect such obligations are expected to have on our liquidity and cash flows in future periods: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Payment Due by Period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 of</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 and</w:t>
            </w:r>
          </w:p>
        </w:tc>
      </w:tr>
      <w:tr>
        <w:trPr>
          <w:trHeight w:val="180"/>
        </w:trPr>
        <w:tc>
          <w:tcPr>
            <w:tcW w:w="41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20" w:type="dxa"/>
            <w:vAlign w:val="bottom"/>
          </w:tcPr>
          <w:p>
            <w:pPr>
              <w:spacing w:after="0"/>
              <w:rPr>
                <w:sz w:val="15"/>
                <w:szCs w:val="15"/>
                <w:color w:val="auto"/>
              </w:rPr>
            </w:pPr>
          </w:p>
        </w:tc>
        <w:tc>
          <w:tcPr>
            <w:tcW w:w="120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5"/>
                <w:szCs w:val="15"/>
                <w:color w:val="auto"/>
              </w:rPr>
            </w:pPr>
          </w:p>
        </w:tc>
        <w:tc>
          <w:tcPr>
            <w:tcW w:w="1220" w:type="dxa"/>
            <w:vAlign w:val="bottom"/>
          </w:tcPr>
          <w:p>
            <w:pPr>
              <w:ind w:left="360"/>
              <w:spacing w:after="0" w:line="181" w:lineRule="exact"/>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2018-2019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9"/>
              <w:spacing w:after="0" w:line="181" w:lineRule="exact"/>
              <w:rPr>
                <w:sz w:val="20"/>
                <w:szCs w:val="20"/>
                <w:color w:val="auto"/>
              </w:rPr>
            </w:pPr>
            <w:r>
              <w:rPr>
                <w:rFonts w:ascii="Arial" w:cs="Arial" w:eastAsia="Arial" w:hAnsi="Arial"/>
                <w:sz w:val="16"/>
                <w:szCs w:val="16"/>
                <w:b w:val="1"/>
                <w:bCs w:val="1"/>
                <w:color w:val="auto"/>
              </w:rPr>
              <w:t>2020-2021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0" w:type="dxa"/>
            <w:vAlign w:val="bottom"/>
            <w:gridSpan w:val="5"/>
          </w:tcPr>
          <w:p>
            <w:pPr>
              <w:ind w:left="7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4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Operating lease obligations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49,164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26,133</w:t>
            </w:r>
          </w:p>
        </w:tc>
      </w:tr>
      <w:tr>
        <w:trPr>
          <w:trHeight w:val="234"/>
        </w:trPr>
        <w:tc>
          <w:tcPr>
            <w:tcW w:w="40" w:type="dxa"/>
            <w:vAlign w:val="bottom"/>
          </w:tcPr>
          <w:p>
            <w:pPr>
              <w:spacing w:after="0"/>
              <w:rPr>
                <w:sz w:val="20"/>
                <w:szCs w:val="20"/>
                <w:color w:val="auto"/>
              </w:rPr>
            </w:pPr>
          </w:p>
        </w:tc>
        <w:tc>
          <w:tcPr>
            <w:tcW w:w="408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49,164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11,101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9,520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26,133</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On October 14, 2016, we entered into a lease agreement (included in the table above) for our new headquarter office facility. The lease commences on May 1, 2018 and has a ten -year term through April 2028. The total commitment of $38.6 million is payable monthly with escalating rental payments throughout the lease term. We gained access to the facility on May 1, 2017 and began construction of certain leasehold improvements.</w:t>
      </w:r>
    </w:p>
    <w:p>
      <w:pPr>
        <w:spacing w:after="0" w:line="204"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231F20"/>
        </w:rPr>
        <w:t>In connection with this lease, we have provided the landlord with a $1.2 million standby letter of credit (classified as restricted cash) to secure our obligations through the end of the lease term.</w:t>
      </w:r>
    </w:p>
    <w:p>
      <w:pPr>
        <w:spacing w:after="0" w:line="196"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8"/>
          <w:szCs w:val="18"/>
          <w:color w:val="000000"/>
        </w:rPr>
        <w:t>six months ended June 30, 2017</w:t>
      </w:r>
      <w:r>
        <w:rPr>
          <w:rFonts w:ascii="Arial" w:cs="Arial" w:eastAsia="Arial" w:hAnsi="Arial"/>
          <w:sz w:val="18"/>
          <w:szCs w:val="18"/>
          <w:color w:val="231F20"/>
        </w:rPr>
        <w:t>, we made regular payments on our operating lease obligations of $2.5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7"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2016, filed with the SEC on February 24, 2017,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 xml:space="preserve">We have $324 million in cash, cash equivalents and short-term and long-term investments at June 30, 2017. Cash and cash equivalents include cash held in banks, highly liquid money market funds, U.S. government agency securities, and commercial paper. Investments consist of fixed-income U.S. government agency securities, corporate bonds, asset-backed securities, and commercial paper. We </w:t>
      </w:r>
      <w:r>
        <w:rPr>
          <w:rFonts w:ascii="Arial" w:cs="Arial" w:eastAsia="Arial" w:hAnsi="Arial"/>
          <w:sz w:val="18"/>
          <w:szCs w:val="18"/>
          <w:color w:val="231F20"/>
        </w:rPr>
        <w:t>determine the</w:t>
      </w:r>
      <w:r>
        <w:rPr>
          <w:rFonts w:ascii="Arial" w:cs="Arial" w:eastAsia="Arial" w:hAnsi="Arial"/>
          <w:sz w:val="18"/>
          <w:szCs w:val="18"/>
          <w:color w:val="auto"/>
        </w:rPr>
        <w:t xml:space="preserve"> </w:t>
      </w:r>
      <w:r>
        <w:rPr>
          <w:rFonts w:ascii="Arial" w:cs="Arial" w:eastAsia="Arial" w:hAnsi="Arial"/>
          <w:sz w:val="18"/>
          <w:szCs w:val="18"/>
          <w:color w:val="231F20"/>
        </w:rPr>
        <w:t>appropriate classification of our investments at the time of purchase and reevaluate such designation at each balance sheet date. We classify our investments as either short-term or long-term based on each instrument's underlying contractual maturity date.</w:t>
      </w:r>
    </w:p>
    <w:p>
      <w:pPr>
        <w:spacing w:after="0" w:line="206"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1"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47" w:lineRule="exact"/>
        <w:rPr>
          <w:sz w:val="20"/>
          <w:szCs w:val="20"/>
          <w:color w:val="auto"/>
        </w:rPr>
      </w:pPr>
    </w:p>
    <w:p>
      <w:pPr>
        <w:ind w:right="140" w:firstLine="486"/>
        <w:spacing w:after="0" w:line="265"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2017. The term “disclosure controls and procedures,” as defined in Rules 13a-15(e) and</w:t>
      </w:r>
    </w:p>
    <w:p>
      <w:pPr>
        <w:spacing w:after="0" w:line="251" w:lineRule="auto"/>
        <w:rPr>
          <w:sz w:val="20"/>
          <w:szCs w:val="20"/>
          <w:color w:val="auto"/>
        </w:rPr>
      </w:pPr>
      <w:r>
        <w:rPr>
          <w:rFonts w:ascii="Arial" w:cs="Arial" w:eastAsia="Arial" w:hAnsi="Arial"/>
          <w:sz w:val="18"/>
          <w:szCs w:val="18"/>
          <w:color w:val="auto"/>
        </w:rPr>
        <w:t>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2017, our Chief Executive Officer and Chief Financial Officer concluded that, as of such date, our disclosure controls and procedures were effective at the reasonable assurance level.</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47" w:lineRule="exact"/>
        <w:rPr>
          <w:sz w:val="20"/>
          <w:szCs w:val="20"/>
          <w:color w:val="auto"/>
        </w:rPr>
      </w:pPr>
    </w:p>
    <w:p>
      <w:pPr>
        <w:jc w:val="both"/>
        <w:ind w:right="10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Subscriptions to our Qualys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ind w:firstLine="392"/>
        <w:spacing w:after="0" w:line="256" w:lineRule="auto"/>
        <w:rPr>
          <w:sz w:val="20"/>
          <w:szCs w:val="20"/>
          <w:color w:val="auto"/>
        </w:rPr>
      </w:pPr>
      <w:r>
        <w:rPr>
          <w:rFonts w:ascii="Arial" w:cs="Arial" w:eastAsia="Arial" w:hAnsi="Arial"/>
          <w:sz w:val="18"/>
          <w:szCs w:val="18"/>
          <w:color w:val="231F20"/>
        </w:rPr>
        <w:t xml:space="preserve">We derived approximately 75% of our revenues from subscriptions to our core Vulnerability Management solutions for the six months ended June 30, 2017. In the six months ended June 30, 2017 and </w:t>
      </w:r>
      <w:r>
        <w:rPr>
          <w:rFonts w:ascii="Arial" w:cs="Arial" w:eastAsia="Arial" w:hAnsi="Arial"/>
          <w:sz w:val="18"/>
          <w:szCs w:val="18"/>
          <w:color w:val="000000"/>
        </w:rPr>
        <w:t>2016</w:t>
      </w:r>
      <w:r>
        <w:rPr>
          <w:rFonts w:ascii="Arial" w:cs="Arial" w:eastAsia="Arial" w:hAnsi="Arial"/>
          <w:sz w:val="18"/>
          <w:szCs w:val="18"/>
          <w:color w:val="231F20"/>
        </w:rPr>
        <w:t>, our VM Solutions included revenues from VM, Private Cloud Platform, Continuous Monitoring, Cloud Agent for VM, AssetView, and ThreatPROTECT.</w:t>
      </w:r>
    </w:p>
    <w:p>
      <w:pPr>
        <w:spacing w:after="0" w:line="202"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Vulnerability Management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229" w:lineRule="exact"/>
        <w:rPr>
          <w:sz w:val="20"/>
          <w:szCs w:val="20"/>
          <w:color w:val="auto"/>
        </w:rPr>
      </w:pPr>
    </w:p>
    <w:p>
      <w:pPr>
        <w:ind w:right="80" w:firstLine="392"/>
        <w:spacing w:after="0" w:line="35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41" w:right="29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03" w:lineRule="exact"/>
        <w:rPr>
          <w:rFonts w:ascii="Arial" w:cs="Arial" w:eastAsia="Arial" w:hAnsi="Arial"/>
          <w:sz w:val="18"/>
          <w:szCs w:val="18"/>
          <w:color w:val="auto"/>
        </w:rPr>
      </w:pPr>
    </w:p>
    <w:p>
      <w:pPr>
        <w:ind w:left="660" w:right="58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invoicing or change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income tax credits that we recognize resulting from excess tax benefits related to stock-based compensation;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66"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41" w:right="2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40" w:firstLine="392"/>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right="140" w:firstLine="392"/>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ind w:firstLine="392"/>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3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41"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71" w:lineRule="exact"/>
        <w:rPr>
          <w:sz w:val="20"/>
          <w:szCs w:val="20"/>
          <w:color w:val="auto"/>
        </w:rPr>
      </w:pPr>
    </w:p>
    <w:p>
      <w:pPr>
        <w:ind w:right="60" w:firstLine="392"/>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392"/>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140" w:firstLine="392"/>
        <w:spacing w:after="0" w:line="250"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 Vulnerability Management for our business and revenues to grow as we expect. Revenues from our other solutions such as Policy Compliance, PCI Compliance, Security Assessment Questionnaire, Web Application Scanning, and Web Application Firewall have been relatively modest compared to revenues from our Qualys Vulnerability Management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231F20"/>
        </w:rPr>
        <w:t>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04"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2" w:lineRule="exact"/>
        <w:rPr>
          <w:sz w:val="20"/>
          <w:szCs w:val="20"/>
          <w:color w:val="auto"/>
        </w:rPr>
      </w:pPr>
    </w:p>
    <w:p>
      <w:pPr>
        <w:jc w:val="both"/>
        <w:ind w:right="38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six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392"/>
        <w:spacing w:after="0" w:line="253"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60" w:firstLine="392"/>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20" w:firstLine="392"/>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380" w:firstLine="392"/>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80" w:firstLine="392"/>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1"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320" w:firstLine="392"/>
        <w:spacing w:after="0" w:line="252"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Symantec Corporation and Rapid7, Inc., as well as privately held security providers including BeyondTrust Software, Inc., Tripwire,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560" w:firstLine="392"/>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66" w:lineRule="exact"/>
        <w:rPr>
          <w:sz w:val="20"/>
          <w:szCs w:val="20"/>
          <w:color w:val="auto"/>
        </w:rPr>
      </w:pPr>
    </w:p>
    <w:p>
      <w:pPr>
        <w:ind w:right="400" w:firstLine="392"/>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20" w:firstLine="392"/>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41" w:right="2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achieve profitability.</w:t>
      </w:r>
    </w:p>
    <w:p>
      <w:pPr>
        <w:spacing w:after="0" w:line="19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20" w:firstLine="392"/>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231F20"/>
        </w:rPr>
        <w:t>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02" w:lineRule="exact"/>
        <w:rPr>
          <w:sz w:val="20"/>
          <w:szCs w:val="20"/>
          <w:color w:val="auto"/>
        </w:rPr>
      </w:pPr>
    </w:p>
    <w:p>
      <w:pPr>
        <w:ind w:right="400" w:firstLine="392"/>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392"/>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ind w:right="20" w:firstLine="392"/>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392"/>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3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1"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left="660" w:right="2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In addition, as of June </w:t>
      </w:r>
      <w:r>
        <w:rPr>
          <w:rFonts w:ascii="Arial" w:cs="Arial" w:eastAsia="Arial" w:hAnsi="Arial"/>
          <w:sz w:val="18"/>
          <w:szCs w:val="18"/>
          <w:color w:val="000000"/>
        </w:rPr>
        <w:t>30, 2017</w:t>
      </w:r>
      <w:r>
        <w:rPr>
          <w:rFonts w:ascii="Arial" w:cs="Arial" w:eastAsia="Arial" w:hAnsi="Arial"/>
          <w:sz w:val="18"/>
          <w:szCs w:val="18"/>
          <w:color w:val="231F20"/>
        </w:rPr>
        <w:t>, approximately 53% of our employees were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0" w:firstLine="392"/>
        <w:spacing w:after="0" w:line="253"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Our headcount increased from 431 employees at January 1, </w:t>
      </w:r>
      <w:r>
        <w:rPr>
          <w:rFonts w:ascii="Arial" w:cs="Arial" w:eastAsia="Arial" w:hAnsi="Arial"/>
          <w:sz w:val="18"/>
          <w:szCs w:val="18"/>
          <w:color w:val="000000"/>
        </w:rPr>
        <w:t>2015</w:t>
      </w:r>
      <w:r>
        <w:rPr>
          <w:rFonts w:ascii="Arial" w:cs="Arial" w:eastAsia="Arial" w:hAnsi="Arial"/>
          <w:sz w:val="18"/>
          <w:szCs w:val="18"/>
          <w:color w:val="231F20"/>
        </w:rPr>
        <w:t xml:space="preserve"> to 772 employees at June </w:t>
      </w:r>
      <w:r>
        <w:rPr>
          <w:rFonts w:ascii="Arial" w:cs="Arial" w:eastAsia="Arial" w:hAnsi="Arial"/>
          <w:sz w:val="18"/>
          <w:szCs w:val="18"/>
          <w:color w:val="000000"/>
        </w:rPr>
        <w:t>30, 2017</w:t>
      </w:r>
      <w:r>
        <w:rPr>
          <w:rFonts w:ascii="Arial" w:cs="Arial" w:eastAsia="Arial" w:hAnsi="Arial"/>
          <w:sz w:val="18"/>
          <w:szCs w:val="18"/>
          <w:color w:val="231F20"/>
        </w:rPr>
        <w:t>.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1"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100" w:firstLine="392"/>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392"/>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six months ended June 30, 2017, we derived approximately </w:t>
      </w:r>
      <w:r>
        <w:rPr>
          <w:rFonts w:ascii="Arial" w:cs="Arial" w:eastAsia="Arial" w:hAnsi="Arial"/>
          <w:sz w:val="18"/>
          <w:szCs w:val="18"/>
          <w:color w:val="000000"/>
        </w:rPr>
        <w:t>40%</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231F20"/>
        </w:rPr>
        <w:t>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7" w:lineRule="exact"/>
        <w:rPr>
          <w:sz w:val="20"/>
          <w:szCs w:val="20"/>
          <w:color w:val="auto"/>
        </w:rPr>
      </w:pPr>
    </w:p>
    <w:p>
      <w:pPr>
        <w:ind w:right="320" w:firstLine="392"/>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the six months ended June 30, 2017, we incurred approximately 19% of our expenses outside of the United States in foreign currencies, primarily Euros, British Pounds, and Indian Rupee, principally with respect to salaries and related personnel expenses associated with our European and Indian operations. Additionally, for the six months ended June 30, 2017, approximately 18%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21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certain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392"/>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right="20" w:firstLine="392"/>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We have nine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00" w:firstLine="392"/>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6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41" w:right="27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392"/>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ind w:right="160" w:firstLine="392"/>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80" w:firstLine="392"/>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may still be viewed negatively by customers, financial markets or investors. </w:t>
      </w:r>
      <w:r>
        <w:rPr>
          <w:rFonts w:ascii="Arial" w:cs="Arial" w:eastAsia="Arial" w:hAnsi="Arial"/>
          <w:sz w:val="18"/>
          <w:szCs w:val="18"/>
          <w:color w:val="231F20"/>
        </w:rPr>
        <w:t>The acquisition and integration process is complex,</w:t>
      </w:r>
      <w:r>
        <w:rPr>
          <w:rFonts w:ascii="Arial" w:cs="Arial" w:eastAsia="Arial" w:hAnsi="Arial"/>
          <w:sz w:val="18"/>
          <w:szCs w:val="18"/>
          <w:color w:val="000000"/>
        </w:rPr>
        <w:t xml:space="preserve"> </w:t>
      </w:r>
      <w:r>
        <w:rPr>
          <w:rFonts w:ascii="Arial" w:cs="Arial" w:eastAsia="Arial" w:hAnsi="Arial"/>
          <w:sz w:val="18"/>
          <w:szCs w:val="18"/>
          <w:color w:val="231F20"/>
        </w:rPr>
        <w:t xml:space="preserve">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 may issue</w:t>
      </w:r>
      <w:r>
        <w:rPr>
          <w:rFonts w:ascii="Arial" w:cs="Arial" w:eastAsia="Arial" w:hAnsi="Arial"/>
          <w:sz w:val="18"/>
          <w:szCs w:val="18"/>
          <w:color w:val="231F20"/>
        </w:rPr>
        <w:t xml:space="preserve"> </w:t>
      </w:r>
      <w:r>
        <w:rPr>
          <w:rFonts w:ascii="Arial" w:cs="Arial" w:eastAsia="Arial" w:hAnsi="Arial"/>
          <w:sz w:val="18"/>
          <w:szCs w:val="18"/>
          <w:color w:val="000000"/>
        </w:rPr>
        <w:t xml:space="preserve">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w:t>
      </w:r>
      <w:r>
        <w:rPr>
          <w:rFonts w:ascii="Arial" w:cs="Arial" w:eastAsia="Arial" w:hAnsi="Arial"/>
          <w:sz w:val="18"/>
          <w:szCs w:val="18"/>
          <w:color w:val="000000"/>
        </w:rPr>
        <w:t xml:space="preserve"> </w:t>
      </w:r>
      <w:r>
        <w:rPr>
          <w:rFonts w:ascii="Arial" w:cs="Arial" w:eastAsia="Arial" w:hAnsi="Arial"/>
          <w:sz w:val="18"/>
          <w:szCs w:val="18"/>
          <w:color w:val="231F20"/>
        </w:rPr>
        <w:t>candidates, and acquisitions we complete may be unsuccessful. If we consummate a transaction, we may be unable to integrate and manage acquired products</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41" w:right="29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231F20"/>
        </w:rPr>
        <w:t>and businesses effectively or retain key personnel. If we are unable to effectively execute acquisitions, our business, financial condition and operating results could be adversely affected.</w:t>
      </w:r>
    </w:p>
    <w:p>
      <w:pPr>
        <w:spacing w:after="0" w:line="17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40" w:firstLine="392"/>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$6.0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Increases in our effective tax rate could harm our operating results.</w:t>
      </w:r>
    </w:p>
    <w:p>
      <w:pPr>
        <w:spacing w:after="0" w:line="206"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accounting or internal audit staff.</w:t>
      </w:r>
    </w:p>
    <w:p>
      <w:pPr>
        <w:spacing w:after="0" w:line="204"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231F20"/>
        </w:rPr>
        <w:t xml:space="preserve">Our </w:t>
      </w:r>
      <w:r>
        <w:rPr>
          <w:rFonts w:ascii="Arial" w:cs="Arial" w:eastAsia="Arial" w:hAnsi="Arial"/>
          <w:sz w:val="17"/>
          <w:szCs w:val="17"/>
          <w:color w:val="000000"/>
        </w:rPr>
        <w:t>internal control over financial reporting is a process designed to provide reasonable assurance regarding the reliability of financial</w:t>
      </w:r>
      <w:r>
        <w:rPr>
          <w:rFonts w:ascii="Arial" w:cs="Arial" w:eastAsia="Arial" w:hAnsi="Arial"/>
          <w:sz w:val="17"/>
          <w:szCs w:val="17"/>
          <w:color w:val="231F20"/>
        </w:rPr>
        <w:t xml:space="preserve"> </w:t>
      </w:r>
      <w:r>
        <w:rPr>
          <w:rFonts w:ascii="Arial" w:cs="Arial" w:eastAsia="Arial" w:hAnsi="Arial"/>
          <w:sz w:val="17"/>
          <w:szCs w:val="17"/>
          <w:color w:val="000000"/>
        </w:rPr>
        <w:t xml:space="preserve">reporting and the preparation of financial statements in accordance with GAAP. Our </w:t>
      </w:r>
      <w:r>
        <w:rPr>
          <w:rFonts w:ascii="Arial" w:cs="Arial" w:eastAsia="Arial" w:hAnsi="Arial"/>
          <w:sz w:val="17"/>
          <w:szCs w:val="17"/>
          <w:color w:val="231F20"/>
        </w:rPr>
        <w:t>current controls and any new controls that we develop may</w:t>
      </w:r>
      <w:r>
        <w:rPr>
          <w:rFonts w:ascii="Arial" w:cs="Arial" w:eastAsia="Arial" w:hAnsi="Arial"/>
          <w:sz w:val="17"/>
          <w:szCs w:val="17"/>
          <w:color w:val="000000"/>
        </w:rPr>
        <w:t xml:space="preserve"> </w:t>
      </w:r>
      <w:r>
        <w:rPr>
          <w:rFonts w:ascii="Arial" w:cs="Arial" w:eastAsia="Arial" w:hAnsi="Arial"/>
          <w:sz w:val="17"/>
          <w:szCs w:val="17"/>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was effective as of December 31, 2016,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4" w:lineRule="exact"/>
        <w:rPr>
          <w:sz w:val="20"/>
          <w:szCs w:val="20"/>
          <w:color w:val="auto"/>
        </w:rPr>
      </w:pPr>
    </w:p>
    <w:p>
      <w:pPr>
        <w:ind w:left="660" w:right="700" w:hanging="328"/>
        <w:spacing w:after="0" w:line="35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66" w:lineRule="exact"/>
        <w:rPr>
          <w:sz w:val="20"/>
          <w:szCs w:val="20"/>
          <w:color w:val="auto"/>
        </w:rPr>
      </w:pPr>
    </w:p>
    <w:p>
      <w:pPr>
        <w:ind w:right="100" w:firstLine="392"/>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ind w:right="40" w:firstLine="392"/>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These estimates include, but are not limited to, certain items such as the amount and timing of income tax credits that we recognize resulting from excess tax benefits from stock-based compensation. Our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6" w:lineRule="exact"/>
        <w:rPr>
          <w:sz w:val="20"/>
          <w:szCs w:val="20"/>
          <w:color w:val="auto"/>
        </w:rPr>
      </w:pPr>
    </w:p>
    <w:p>
      <w:pPr>
        <w:ind w:firstLine="392"/>
        <w:spacing w:after="0" w:line="253"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41" w:right="2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231F20"/>
        </w:rPr>
        <w:t>to provide a basis for our management to discuss our business outlook with analysts and investors. We do not accept any responsibility for any projections or reports published by any such third parties.</w:t>
      </w:r>
    </w:p>
    <w:p>
      <w:pPr>
        <w:spacing w:after="0" w:line="196" w:lineRule="exact"/>
        <w:rPr>
          <w:sz w:val="20"/>
          <w:szCs w:val="20"/>
          <w:color w:val="auto"/>
        </w:rPr>
      </w:pPr>
    </w:p>
    <w:p>
      <w:pPr>
        <w:ind w:right="140" w:firstLine="392"/>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As of June 30, 2017, our executive officers, directors and holders of 10% or more of our outstanding common stock beneficially owned, in the aggregate, approximately 15%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2017, we had approximately 37.5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In addition, as of June 30, 2017, there were approximately 1.2 million of restricted stock units and options to purchase approximately 5.5 million shares of our common stock outstanding. If such restricted stock units are released or options are exercised, these additional shares will become available for sale. As of June 30, 2017, we had an aggregate of 2.5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1"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247"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141" w:right="31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August 3, 2017.</w:t>
      </w:r>
    </w:p>
    <w:p>
      <w:pPr>
        <w:spacing w:after="0" w:line="3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firstLine="215"/>
        <w:spacing w:after="0" w:line="465" w:lineRule="auto"/>
        <w:rPr>
          <w:sz w:val="20"/>
          <w:szCs w:val="20"/>
          <w:color w:val="auto"/>
        </w:rPr>
      </w:pPr>
      <w:r>
        <w:rPr>
          <w:rFonts w:ascii="Arial" w:cs="Arial" w:eastAsia="Arial" w:hAnsi="Arial"/>
          <w:sz w:val="18"/>
          <w:szCs w:val="18"/>
          <w:color w:val="auto"/>
        </w:rPr>
        <w:t>Exhibit Number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 INS</w:t>
      </w:r>
    </w:p>
    <w:p>
      <w:pPr>
        <w:spacing w:after="0" w:line="293" w:lineRule="exact"/>
        <w:rPr>
          <w:sz w:val="20"/>
          <w:szCs w:val="20"/>
          <w:color w:val="auto"/>
        </w:rPr>
      </w:pPr>
    </w:p>
    <w:p>
      <w:pPr>
        <w:ind w:left="380" w:hanging="345"/>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46" w:lineRule="exact"/>
        <w:rPr>
          <w:sz w:val="20"/>
          <w:szCs w:val="20"/>
          <w:color w:val="auto"/>
        </w:rPr>
      </w:pPr>
    </w:p>
    <w:p>
      <w:pPr>
        <w:ind w:left="320" w:hanging="323"/>
        <w:spacing w:after="0" w:line="246" w:lineRule="auto"/>
        <w:rPr>
          <w:sz w:val="20"/>
          <w:szCs w:val="20"/>
          <w:color w:val="auto"/>
        </w:rPr>
      </w:pPr>
      <w:r>
        <w:rPr>
          <w:rFonts w:ascii="Arial" w:cs="Arial" w:eastAsia="Arial" w:hAnsi="Arial"/>
          <w:sz w:val="18"/>
          <w:szCs w:val="18"/>
          <w:color w:val="231F20"/>
        </w:rPr>
        <w:t>Certification of Chief Executive Officer pursuant to Rule 13a-14(a) or Rule 15d-14(a) of the Securities Exchange Act of 1934, as adopted pursuant to Section 302 of The Sarbanes-Oxley Act of 2002.</w:t>
      </w:r>
    </w:p>
    <w:p>
      <w:pPr>
        <w:spacing w:after="0" w:line="237" w:lineRule="exact"/>
        <w:rPr>
          <w:sz w:val="20"/>
          <w:szCs w:val="20"/>
          <w:color w:val="auto"/>
        </w:rPr>
      </w:pPr>
    </w:p>
    <w:p>
      <w:pPr>
        <w:ind w:left="320" w:right="60" w:hanging="323"/>
        <w:spacing w:after="0" w:line="246" w:lineRule="auto"/>
        <w:rPr>
          <w:sz w:val="20"/>
          <w:szCs w:val="20"/>
          <w:color w:val="auto"/>
        </w:rPr>
      </w:pPr>
      <w:r>
        <w:rPr>
          <w:rFonts w:ascii="Arial" w:cs="Arial" w:eastAsia="Arial" w:hAnsi="Arial"/>
          <w:sz w:val="18"/>
          <w:szCs w:val="18"/>
          <w:color w:val="231F20"/>
        </w:rPr>
        <w:t>Certification of Chief Financial Officer pursuant to Rule 13a-14(a) or Rule 15d-14(a) of the Securities Exchange Act of 1934, as adopted pursuant to Section 302 of The Sarbanes-Oxley Act of 2002.</w:t>
      </w:r>
    </w:p>
    <w:p>
      <w:pPr>
        <w:spacing w:after="0" w:line="237" w:lineRule="exact"/>
        <w:rPr>
          <w:sz w:val="20"/>
          <w:szCs w:val="20"/>
          <w:color w:val="auto"/>
        </w:rPr>
      </w:pPr>
    </w:p>
    <w:p>
      <w:pPr>
        <w:ind w:left="320" w:hanging="323"/>
        <w:spacing w:after="0" w:line="246" w:lineRule="auto"/>
        <w:rPr>
          <w:sz w:val="20"/>
          <w:szCs w:val="20"/>
          <w:color w:val="auto"/>
        </w:rPr>
      </w:pPr>
      <w:r>
        <w:rPr>
          <w:rFonts w:ascii="Arial" w:cs="Arial" w:eastAsia="Arial" w:hAnsi="Arial"/>
          <w:sz w:val="18"/>
          <w:szCs w:val="18"/>
          <w:color w:val="231F20"/>
        </w:rPr>
        <w:t>Certification of Chief Executive Officer pursuant to Rule 13a-14(b) or Rule 15d-14(b) of the Securities Exchange Act of 1934 and 18 U.S.C. Section 1350 as adopted pursuant to Section 906 of The Sarbanes-Oxley Act of 2002.</w:t>
      </w:r>
    </w:p>
    <w:p>
      <w:pPr>
        <w:spacing w:after="0" w:line="278" w:lineRule="exact"/>
        <w:rPr>
          <w:sz w:val="20"/>
          <w:szCs w:val="20"/>
          <w:color w:val="auto"/>
        </w:rPr>
      </w:pPr>
    </w:p>
    <w:p>
      <w:pPr>
        <w:ind w:left="320" w:right="60" w:hanging="323"/>
        <w:spacing w:after="0" w:line="246" w:lineRule="auto"/>
        <w:rPr>
          <w:sz w:val="20"/>
          <w:szCs w:val="20"/>
          <w:color w:val="auto"/>
        </w:rPr>
      </w:pPr>
      <w:r>
        <w:rPr>
          <w:rFonts w:ascii="Arial" w:cs="Arial" w:eastAsia="Arial" w:hAnsi="Arial"/>
          <w:sz w:val="18"/>
          <w:szCs w:val="18"/>
          <w:color w:val="auto"/>
        </w:rPr>
        <w:t>Certification of Chief Financial Officer pursuant to Rule 13a-14(b) or Rule 15d-14(b) of the Securities Exchange Act of 1934 and 18 U.S.C. Section 1350 as adopted pursuant to Section 906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231F20"/>
        </w:rPr>
        <w:t>XBRL Instance Document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480" w:space="400"/>
            <w:col w:w="9380"/>
          </w:cols>
          <w:pgMar w:left="240" w:top="141" w:right="399" w:bottom="1440" w:gutter="0" w:footer="0" w:header="0"/>
        </w:sectPr>
      </w:pPr>
    </w:p>
    <w:p>
      <w:pPr>
        <w:spacing w:after="0" w:line="66" w:lineRule="exact"/>
        <w:rPr>
          <w:sz w:val="20"/>
          <w:szCs w:val="20"/>
          <w:color w:val="auto"/>
        </w:rPr>
      </w:pPr>
    </w:p>
    <w:p>
      <w:pPr>
        <w:ind w:left="500" w:hanging="492"/>
        <w:spacing w:after="0" w:line="254" w:lineRule="auto"/>
        <w:tabs>
          <w:tab w:leader="none" w:pos="5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141" w:right="39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3, 2017</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3, 2017</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2017,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780" w:hanging="272"/>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3, 2017</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2017,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75" w:lineRule="exact"/>
        <w:rPr>
          <w:sz w:val="20"/>
          <w:szCs w:val="20"/>
          <w:color w:val="auto"/>
        </w:rPr>
      </w:pPr>
    </w:p>
    <w:p>
      <w:pPr>
        <w:ind w:left="780" w:hanging="2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3, 2017</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decimal"/>
      <w:start w:val="2"/>
    </w:lvl>
  </w:abstractNum>
  <w:abstractNum w:abstractNumId="25">
    <w:nsid w:val="B03E0C6"/>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2019-12-29T04:42:23Z</dcterms:created>
  <dcterms:modified xsi:type="dcterms:W3CDTF">2019-12-29T04:42:23Z</dcterms:modified>
</cp:coreProperties>
</file>